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E2" w:rsidRDefault="002916E2" w:rsidP="002916E2">
      <w:pPr>
        <w:spacing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2916E2" w:rsidRDefault="002916E2" w:rsidP="002916E2">
      <w:pPr>
        <w:spacing w:line="240" w:lineRule="auto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 w:rsidRPr="008D7F46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Public Comments to Minneapolis Public Housing Authority’s (MPHA</w:t>
      </w:r>
      <w:r w:rsidR="008D7F46" w:rsidRPr="008D7F46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) 2018</w:t>
      </w:r>
      <w:r w:rsidRPr="008D7F46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Draft "Moving to Work" Plan, </w:t>
      </w:r>
      <w:proofErr w:type="gramStart"/>
      <w:r w:rsidR="00D94F1C" w:rsidRPr="008D7F46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Budget</w:t>
      </w:r>
      <w:proofErr w:type="gramEnd"/>
      <w:r w:rsidR="00D94F1C" w:rsidRPr="008D7F46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and</w:t>
      </w:r>
      <w:r w:rsidRPr="008D7F46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"Public Housing Statement of Policies" documents. </w:t>
      </w:r>
    </w:p>
    <w:p w:rsidR="00D94F1C" w:rsidRPr="008D7F46" w:rsidRDefault="00C254A9" w:rsidP="002916E2">
      <w:pPr>
        <w:spacing w:line="240" w:lineRule="auto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September </w:t>
      </w:r>
      <w:r w:rsidR="00D94F1C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2017</w:t>
      </w:r>
    </w:p>
    <w:p w:rsidR="004A189C" w:rsidRPr="006C4FB1" w:rsidRDefault="004A189C" w:rsidP="001B7EEF">
      <w:pPr>
        <w:spacing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020691" w:rsidRDefault="006C4FB1" w:rsidP="006C4FB1">
      <w:pPr>
        <w:spacing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6C4FB1">
        <w:rPr>
          <w:rFonts w:ascii="Arial" w:hAnsi="Arial" w:cs="Arial"/>
          <w:b/>
          <w:bCs/>
          <w:color w:val="222222"/>
          <w:shd w:val="clear" w:color="auto" w:fill="FFFFFF"/>
        </w:rPr>
        <w:t xml:space="preserve">1. </w:t>
      </w:r>
      <w:r w:rsidR="00020691">
        <w:rPr>
          <w:rFonts w:ascii="Arial" w:hAnsi="Arial" w:cs="Arial"/>
          <w:b/>
          <w:bCs/>
          <w:color w:val="222222"/>
          <w:shd w:val="clear" w:color="auto" w:fill="FFFFFF"/>
        </w:rPr>
        <w:t xml:space="preserve">Must remove </w:t>
      </w:r>
      <w:proofErr w:type="spellStart"/>
      <w:r w:rsidR="00020691">
        <w:rPr>
          <w:rFonts w:ascii="Arial" w:hAnsi="Arial" w:cs="Arial"/>
          <w:b/>
          <w:bCs/>
          <w:color w:val="222222"/>
          <w:shd w:val="clear" w:color="auto" w:fill="FFFFFF"/>
        </w:rPr>
        <w:t>LURA</w:t>
      </w:r>
      <w:proofErr w:type="spellEnd"/>
      <w:r w:rsidR="00020691">
        <w:rPr>
          <w:rFonts w:ascii="Arial" w:hAnsi="Arial" w:cs="Arial"/>
          <w:b/>
          <w:bCs/>
          <w:color w:val="222222"/>
          <w:shd w:val="clear" w:color="auto" w:fill="FFFFFF"/>
        </w:rPr>
        <w:t xml:space="preserve"> and keep DOT</w:t>
      </w:r>
      <w:r w:rsidR="008D7F46">
        <w:rPr>
          <w:rFonts w:ascii="Arial" w:hAnsi="Arial" w:cs="Arial"/>
          <w:b/>
          <w:bCs/>
          <w:color w:val="222222"/>
          <w:shd w:val="clear" w:color="auto" w:fill="FFFFFF"/>
        </w:rPr>
        <w:t>.</w:t>
      </w:r>
    </w:p>
    <w:p w:rsidR="00020691" w:rsidRDefault="006C4FB1" w:rsidP="006C4FB1">
      <w:pPr>
        <w:spacing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6C4FB1">
        <w:rPr>
          <w:rFonts w:ascii="Arial" w:hAnsi="Arial" w:cs="Arial"/>
          <w:b/>
          <w:bCs/>
          <w:color w:val="222222"/>
          <w:shd w:val="clear" w:color="auto" w:fill="FFFFFF"/>
        </w:rPr>
        <w:t xml:space="preserve"> 2. </w:t>
      </w:r>
      <w:r w:rsidR="004A189C" w:rsidRPr="006C4FB1">
        <w:rPr>
          <w:rFonts w:ascii="Arial" w:hAnsi="Arial" w:cs="Arial"/>
          <w:b/>
          <w:bCs/>
          <w:color w:val="222222"/>
          <w:shd w:val="clear" w:color="auto" w:fill="FFFFFF"/>
        </w:rPr>
        <w:t xml:space="preserve">Add Glendale </w:t>
      </w:r>
      <w:r w:rsidRPr="006C4FB1">
        <w:rPr>
          <w:rFonts w:ascii="Arial" w:hAnsi="Arial" w:cs="Arial"/>
          <w:b/>
          <w:bCs/>
          <w:color w:val="222222"/>
          <w:shd w:val="clear" w:color="auto" w:fill="FFFFFF"/>
        </w:rPr>
        <w:t>repairs to</w:t>
      </w:r>
      <w:r w:rsidR="004A189C" w:rsidRPr="006C4FB1">
        <w:rPr>
          <w:rFonts w:ascii="Arial" w:hAnsi="Arial" w:cs="Arial"/>
          <w:b/>
          <w:bCs/>
          <w:color w:val="222222"/>
          <w:shd w:val="clear" w:color="auto" w:fill="FFFFFF"/>
        </w:rPr>
        <w:t xml:space="preserve"> the </w:t>
      </w:r>
      <w:r w:rsidR="00020691" w:rsidRPr="006C4FB1">
        <w:rPr>
          <w:rFonts w:ascii="Arial" w:hAnsi="Arial" w:cs="Arial"/>
          <w:b/>
          <w:bCs/>
          <w:color w:val="222222"/>
          <w:shd w:val="clear" w:color="auto" w:fill="FFFFFF"/>
        </w:rPr>
        <w:t>budget and</w:t>
      </w:r>
      <w:r w:rsidR="004A189C" w:rsidRPr="006C4FB1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6C4FB1">
        <w:rPr>
          <w:rFonts w:ascii="Arial" w:hAnsi="Arial" w:cs="Arial"/>
          <w:b/>
          <w:bCs/>
          <w:color w:val="222222"/>
          <w:shd w:val="clear" w:color="auto" w:fill="FFFFFF"/>
        </w:rPr>
        <w:t>c</w:t>
      </w:r>
      <w:r w:rsidR="004A189C" w:rsidRPr="006C4FB1">
        <w:rPr>
          <w:rFonts w:ascii="Arial" w:hAnsi="Arial" w:cs="Arial"/>
          <w:b/>
          <w:bCs/>
          <w:color w:val="222222"/>
          <w:shd w:val="clear" w:color="auto" w:fill="FFFFFF"/>
        </w:rPr>
        <w:t>apital improvement plan</w:t>
      </w:r>
      <w:r w:rsidR="008D7F46">
        <w:rPr>
          <w:rFonts w:ascii="Arial" w:hAnsi="Arial" w:cs="Arial"/>
          <w:b/>
          <w:bCs/>
          <w:color w:val="222222"/>
          <w:shd w:val="clear" w:color="auto" w:fill="FFFFFF"/>
        </w:rPr>
        <w:t xml:space="preserve">.  </w:t>
      </w:r>
      <w:r w:rsidRPr="006C4FB1">
        <w:rPr>
          <w:rFonts w:ascii="Arial" w:hAnsi="Arial" w:cs="Arial"/>
          <w:b/>
          <w:bCs/>
          <w:color w:val="222222"/>
          <w:shd w:val="clear" w:color="auto" w:fill="FFFFFF"/>
        </w:rPr>
        <w:t>Stop disinvesting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in Glendale. </w:t>
      </w:r>
    </w:p>
    <w:p w:rsidR="006C4FB1" w:rsidRDefault="004A189C" w:rsidP="006C4FB1">
      <w:pPr>
        <w:spacing w:line="240" w:lineRule="auto"/>
        <w:jc w:val="both"/>
        <w:rPr>
          <w:b/>
          <w:sz w:val="24"/>
          <w:szCs w:val="24"/>
        </w:rPr>
      </w:pPr>
      <w:r w:rsidRPr="006C4FB1">
        <w:rPr>
          <w:rFonts w:ascii="Arial" w:hAnsi="Arial" w:cs="Arial"/>
          <w:b/>
          <w:bCs/>
          <w:color w:val="222222"/>
          <w:shd w:val="clear" w:color="auto" w:fill="FFFFFF"/>
        </w:rPr>
        <w:t>3</w:t>
      </w:r>
      <w:r w:rsidR="006C4FB1" w:rsidRPr="006C4FB1">
        <w:rPr>
          <w:rFonts w:ascii="Arial" w:hAnsi="Arial" w:cs="Arial"/>
          <w:b/>
          <w:bCs/>
          <w:color w:val="222222"/>
          <w:shd w:val="clear" w:color="auto" w:fill="FFFFFF"/>
        </w:rPr>
        <w:t>.</w:t>
      </w:r>
      <w:r w:rsidRPr="006C4FB1">
        <w:rPr>
          <w:rFonts w:ascii="Arial" w:hAnsi="Arial" w:cs="Arial"/>
          <w:b/>
          <w:bCs/>
          <w:color w:val="222222"/>
          <w:shd w:val="clear" w:color="auto" w:fill="FFFFFF"/>
        </w:rPr>
        <w:t xml:space="preserve"> MPHA needs to </w:t>
      </w:r>
      <w:r w:rsidR="008D7F46" w:rsidRPr="006C4FB1">
        <w:rPr>
          <w:rFonts w:ascii="Arial" w:hAnsi="Arial" w:cs="Arial"/>
          <w:b/>
          <w:bCs/>
          <w:color w:val="222222"/>
          <w:shd w:val="clear" w:color="auto" w:fill="FFFFFF"/>
        </w:rPr>
        <w:t>comply</w:t>
      </w:r>
      <w:r w:rsidRPr="006C4FB1">
        <w:rPr>
          <w:rFonts w:ascii="Arial" w:hAnsi="Arial" w:cs="Arial"/>
          <w:b/>
          <w:bCs/>
          <w:color w:val="222222"/>
          <w:shd w:val="clear" w:color="auto" w:fill="FFFFFF"/>
        </w:rPr>
        <w:t xml:space="preserve"> with </w:t>
      </w:r>
      <w:r w:rsidR="008D7F46" w:rsidRPr="006C4FB1">
        <w:rPr>
          <w:b/>
          <w:sz w:val="24"/>
          <w:szCs w:val="24"/>
        </w:rPr>
        <w:t>Federal (</w:t>
      </w:r>
      <w:r w:rsidRPr="006C4FB1">
        <w:rPr>
          <w:b/>
          <w:sz w:val="24"/>
          <w:szCs w:val="24"/>
        </w:rPr>
        <w:t>Limited En</w:t>
      </w:r>
      <w:r w:rsidR="008D7F46">
        <w:rPr>
          <w:b/>
          <w:sz w:val="24"/>
          <w:szCs w:val="24"/>
        </w:rPr>
        <w:t>glish Proficiency) guideline</w:t>
      </w:r>
      <w:r w:rsidR="008D7F46" w:rsidRPr="006C4FB1">
        <w:rPr>
          <w:b/>
          <w:sz w:val="24"/>
          <w:szCs w:val="24"/>
        </w:rPr>
        <w:t xml:space="preserve"> for</w:t>
      </w:r>
      <w:r w:rsidRPr="006C4FB1">
        <w:rPr>
          <w:b/>
          <w:sz w:val="24"/>
          <w:szCs w:val="24"/>
        </w:rPr>
        <w:t xml:space="preserve"> interpreting and translations services for all language</w:t>
      </w:r>
      <w:r w:rsidR="00020691">
        <w:rPr>
          <w:b/>
          <w:sz w:val="24"/>
          <w:szCs w:val="24"/>
        </w:rPr>
        <w:t xml:space="preserve">. </w:t>
      </w:r>
    </w:p>
    <w:p w:rsidR="006C4FB1" w:rsidRPr="006C4FB1" w:rsidRDefault="006C4FB1" w:rsidP="006C4FB1">
      <w:pPr>
        <w:spacing w:line="240" w:lineRule="auto"/>
        <w:jc w:val="both"/>
        <w:rPr>
          <w:b/>
          <w:sz w:val="24"/>
          <w:szCs w:val="24"/>
        </w:rPr>
      </w:pPr>
      <w:r w:rsidRPr="006C4FB1">
        <w:rPr>
          <w:b/>
          <w:sz w:val="24"/>
          <w:szCs w:val="24"/>
        </w:rPr>
        <w:t xml:space="preserve">4. </w:t>
      </w:r>
      <w:r w:rsidR="004A189C" w:rsidRPr="006C4FB1">
        <w:rPr>
          <w:b/>
          <w:sz w:val="24"/>
          <w:szCs w:val="24"/>
        </w:rPr>
        <w:t>M</w:t>
      </w:r>
      <w:r w:rsidRPr="006C4FB1">
        <w:rPr>
          <w:b/>
          <w:sz w:val="24"/>
          <w:szCs w:val="24"/>
        </w:rPr>
        <w:t xml:space="preserve">PHA published plenty privatization evidence in their reports and plans.  </w:t>
      </w:r>
      <w:r w:rsidR="004A189C" w:rsidRPr="006C4FB1">
        <w:rPr>
          <w:b/>
          <w:sz w:val="24"/>
          <w:szCs w:val="24"/>
        </w:rPr>
        <w:t>Stop attacking and targeting public housing residents</w:t>
      </w:r>
      <w:r w:rsidRPr="006C4FB1">
        <w:rPr>
          <w:b/>
          <w:sz w:val="24"/>
          <w:szCs w:val="24"/>
        </w:rPr>
        <w:t xml:space="preserve"> for speaking the truth</w:t>
      </w:r>
      <w:r w:rsidR="008D7F46" w:rsidRPr="006C4FB1">
        <w:rPr>
          <w:b/>
          <w:sz w:val="24"/>
          <w:szCs w:val="24"/>
        </w:rPr>
        <w:t xml:space="preserve">.  </w:t>
      </w:r>
      <w:r w:rsidRPr="006C4FB1">
        <w:rPr>
          <w:b/>
          <w:sz w:val="24"/>
          <w:szCs w:val="24"/>
        </w:rPr>
        <w:t xml:space="preserve">Own and be transparent </w:t>
      </w:r>
      <w:r w:rsidR="008D7F46" w:rsidRPr="006C4FB1">
        <w:rPr>
          <w:b/>
          <w:sz w:val="24"/>
          <w:szCs w:val="24"/>
        </w:rPr>
        <w:t>that MPHA</w:t>
      </w:r>
      <w:r w:rsidRPr="006C4FB1">
        <w:rPr>
          <w:b/>
          <w:sz w:val="24"/>
          <w:szCs w:val="24"/>
        </w:rPr>
        <w:t xml:space="preserve"> wants to</w:t>
      </w:r>
      <w:r w:rsidR="004A189C" w:rsidRPr="006C4FB1">
        <w:rPr>
          <w:b/>
          <w:sz w:val="24"/>
          <w:szCs w:val="24"/>
        </w:rPr>
        <w:t xml:space="preserve"> privatiz</w:t>
      </w:r>
      <w:r w:rsidRPr="006C4FB1">
        <w:rPr>
          <w:b/>
          <w:sz w:val="24"/>
          <w:szCs w:val="24"/>
        </w:rPr>
        <w:t xml:space="preserve">e Glendale Townhomes and </w:t>
      </w:r>
      <w:r w:rsidR="004A189C" w:rsidRPr="006C4FB1">
        <w:rPr>
          <w:b/>
          <w:sz w:val="24"/>
          <w:szCs w:val="24"/>
        </w:rPr>
        <w:t>other</w:t>
      </w:r>
      <w:r w:rsidRPr="006C4FB1">
        <w:rPr>
          <w:b/>
          <w:sz w:val="24"/>
          <w:szCs w:val="24"/>
        </w:rPr>
        <w:t xml:space="preserve"> public housing proprieties listed below.  As a result, r</w:t>
      </w:r>
      <w:r w:rsidR="004A189C" w:rsidRPr="006C4FB1">
        <w:rPr>
          <w:b/>
          <w:sz w:val="24"/>
          <w:szCs w:val="24"/>
        </w:rPr>
        <w:t>es</w:t>
      </w:r>
      <w:r w:rsidRPr="006C4FB1">
        <w:rPr>
          <w:b/>
          <w:sz w:val="24"/>
          <w:szCs w:val="24"/>
        </w:rPr>
        <w:t xml:space="preserve">idents </w:t>
      </w:r>
      <w:proofErr w:type="gramStart"/>
      <w:r w:rsidR="004A189C" w:rsidRPr="006C4FB1">
        <w:rPr>
          <w:b/>
          <w:sz w:val="24"/>
          <w:szCs w:val="24"/>
        </w:rPr>
        <w:t>will be displaced</w:t>
      </w:r>
      <w:proofErr w:type="gramEnd"/>
      <w:r w:rsidRPr="006C4FB1">
        <w:rPr>
          <w:b/>
          <w:sz w:val="24"/>
          <w:szCs w:val="24"/>
        </w:rPr>
        <w:t>.</w:t>
      </w:r>
    </w:p>
    <w:p w:rsidR="006C4FB1" w:rsidRPr="008D7F46" w:rsidRDefault="006C4FB1" w:rsidP="006C4FB1">
      <w:pPr>
        <w:spacing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6C4FB1">
        <w:rPr>
          <w:b/>
          <w:sz w:val="24"/>
          <w:szCs w:val="24"/>
        </w:rPr>
        <w:t>5</w:t>
      </w:r>
      <w:r w:rsidRPr="008D7F46">
        <w:rPr>
          <w:b/>
          <w:sz w:val="24"/>
          <w:szCs w:val="24"/>
        </w:rPr>
        <w:t xml:space="preserve">.  </w:t>
      </w:r>
      <w:proofErr w:type="spellStart"/>
      <w:r w:rsidR="008D7F46" w:rsidRPr="008D7F46">
        <w:rPr>
          <w:b/>
          <w:sz w:val="24"/>
          <w:szCs w:val="24"/>
        </w:rPr>
        <w:t>MPHA’s</w:t>
      </w:r>
      <w:proofErr w:type="spellEnd"/>
      <w:r w:rsidR="008D7F46" w:rsidRPr="008D7F46">
        <w:rPr>
          <w:b/>
          <w:sz w:val="24"/>
          <w:szCs w:val="24"/>
        </w:rPr>
        <w:t xml:space="preserve"> Guiding</w:t>
      </w:r>
      <w:r w:rsidRPr="008D7F46">
        <w:rPr>
          <w:b/>
          <w:sz w:val="24"/>
          <w:szCs w:val="24"/>
        </w:rPr>
        <w:t xml:space="preserve"> Principles for Redevelopment and Capital Investment i</w:t>
      </w:r>
      <w:r w:rsidR="008D7F46">
        <w:rPr>
          <w:b/>
          <w:sz w:val="24"/>
          <w:szCs w:val="24"/>
        </w:rPr>
        <w:t xml:space="preserve">s privatization plan </w:t>
      </w:r>
      <w:proofErr w:type="gramStart"/>
      <w:r w:rsidR="008D7F46">
        <w:rPr>
          <w:b/>
          <w:sz w:val="24"/>
          <w:szCs w:val="24"/>
        </w:rPr>
        <w:t xml:space="preserve">should be </w:t>
      </w:r>
      <w:r w:rsidRPr="008D7F46">
        <w:rPr>
          <w:b/>
          <w:sz w:val="24"/>
          <w:szCs w:val="24"/>
        </w:rPr>
        <w:t xml:space="preserve">deleted, </w:t>
      </w:r>
      <w:r w:rsidR="008D7F46" w:rsidRPr="008D7F46">
        <w:rPr>
          <w:b/>
          <w:sz w:val="24"/>
          <w:szCs w:val="24"/>
        </w:rPr>
        <w:t>removed,</w:t>
      </w:r>
      <w:r w:rsidRPr="008D7F46">
        <w:rPr>
          <w:b/>
          <w:sz w:val="24"/>
          <w:szCs w:val="24"/>
        </w:rPr>
        <w:t xml:space="preserve"> and replaced with a public</w:t>
      </w:r>
      <w:proofErr w:type="gramEnd"/>
      <w:r w:rsidRPr="008D7F46">
        <w:rPr>
          <w:b/>
          <w:sz w:val="24"/>
          <w:szCs w:val="24"/>
        </w:rPr>
        <w:t xml:space="preserve"> plans that secure public funding.  </w:t>
      </w:r>
    </w:p>
    <w:p w:rsidR="004A189C" w:rsidRDefault="004A189C" w:rsidP="001B7EEF">
      <w:pPr>
        <w:spacing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020691" w:rsidRPr="006C4FB1" w:rsidRDefault="00020691" w:rsidP="001B7EEF">
      <w:pPr>
        <w:spacing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hd w:val="clear" w:color="auto" w:fill="FFFFFF"/>
        </w:rPr>
        <w:tab/>
        <w:t>FIVE POINTS</w:t>
      </w:r>
      <w:r w:rsidR="008D7F46">
        <w:rPr>
          <w:rFonts w:ascii="Arial" w:hAnsi="Arial" w:cs="Arial"/>
          <w:b/>
          <w:bCs/>
          <w:color w:val="222222"/>
          <w:shd w:val="clear" w:color="auto" w:fill="FFFFFF"/>
        </w:rPr>
        <w:t xml:space="preserve">: An explanation </w:t>
      </w:r>
    </w:p>
    <w:p w:rsidR="00C41563" w:rsidRPr="0001604F" w:rsidRDefault="002916E2" w:rsidP="001B7EEF">
      <w:pPr>
        <w:spacing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r w:rsidR="00702F1C" w:rsidRPr="0001604F">
        <w:rPr>
          <w:sz w:val="24"/>
          <w:szCs w:val="24"/>
        </w:rPr>
        <w:t xml:space="preserve">The </w:t>
      </w:r>
      <w:r w:rsidR="003D20F0" w:rsidRPr="0001604F">
        <w:rPr>
          <w:sz w:val="24"/>
          <w:szCs w:val="24"/>
        </w:rPr>
        <w:t xml:space="preserve">immediate defect in the MPHA staff’s Draft </w:t>
      </w:r>
      <w:proofErr w:type="spellStart"/>
      <w:r w:rsidR="00702F1C" w:rsidRPr="0001604F">
        <w:rPr>
          <w:sz w:val="24"/>
          <w:szCs w:val="24"/>
        </w:rPr>
        <w:t>MWT</w:t>
      </w:r>
      <w:proofErr w:type="spellEnd"/>
      <w:r w:rsidR="00702F1C" w:rsidRPr="0001604F">
        <w:rPr>
          <w:sz w:val="24"/>
          <w:szCs w:val="24"/>
        </w:rPr>
        <w:t xml:space="preserve"> </w:t>
      </w:r>
      <w:r w:rsidR="003D20F0" w:rsidRPr="0001604F">
        <w:rPr>
          <w:sz w:val="24"/>
          <w:szCs w:val="24"/>
        </w:rPr>
        <w:t xml:space="preserve">Annual Plan 2018 is that </w:t>
      </w:r>
      <w:r w:rsidR="00702F1C" w:rsidRPr="0001604F">
        <w:rPr>
          <w:sz w:val="24"/>
          <w:szCs w:val="24"/>
        </w:rPr>
        <w:t xml:space="preserve">its budget continues </w:t>
      </w:r>
      <w:proofErr w:type="spellStart"/>
      <w:r w:rsidR="00702F1C" w:rsidRPr="0001604F">
        <w:rPr>
          <w:sz w:val="24"/>
          <w:szCs w:val="24"/>
        </w:rPr>
        <w:t>MPHA’</w:t>
      </w:r>
      <w:r w:rsidR="003D20F0" w:rsidRPr="0001604F">
        <w:rPr>
          <w:sz w:val="24"/>
          <w:szCs w:val="24"/>
        </w:rPr>
        <w:t>s</w:t>
      </w:r>
      <w:proofErr w:type="spellEnd"/>
      <w:r w:rsidR="003D20F0" w:rsidRPr="0001604F">
        <w:rPr>
          <w:sz w:val="24"/>
          <w:szCs w:val="24"/>
        </w:rPr>
        <w:t xml:space="preserve"> </w:t>
      </w:r>
      <w:r w:rsidR="00350AA9">
        <w:rPr>
          <w:sz w:val="24"/>
          <w:szCs w:val="24"/>
        </w:rPr>
        <w:t>historic disinvestment in Glendale</w:t>
      </w:r>
      <w:r w:rsidR="00FC0834">
        <w:rPr>
          <w:sz w:val="24"/>
          <w:szCs w:val="24"/>
        </w:rPr>
        <w:t xml:space="preserve"> Townhomes</w:t>
      </w:r>
      <w:r w:rsidR="00350AA9">
        <w:rPr>
          <w:sz w:val="24"/>
          <w:szCs w:val="24"/>
        </w:rPr>
        <w:t>, Minneapolis’</w:t>
      </w:r>
      <w:r w:rsidR="00935FB7">
        <w:rPr>
          <w:sz w:val="24"/>
          <w:szCs w:val="24"/>
        </w:rPr>
        <w:t xml:space="preserve"> one </w:t>
      </w:r>
      <w:r w:rsidR="00350AA9">
        <w:rPr>
          <w:sz w:val="24"/>
          <w:szCs w:val="24"/>
        </w:rPr>
        <w:t>remaining family public housing community</w:t>
      </w:r>
      <w:proofErr w:type="gramStart"/>
      <w:r w:rsidR="00350AA9">
        <w:rPr>
          <w:sz w:val="24"/>
          <w:szCs w:val="24"/>
        </w:rPr>
        <w:t>.</w:t>
      </w:r>
      <w:r w:rsidR="003D20F0" w:rsidRPr="0001604F">
        <w:rPr>
          <w:sz w:val="24"/>
          <w:szCs w:val="24"/>
        </w:rPr>
        <w:t xml:space="preserve">  </w:t>
      </w:r>
      <w:r w:rsidR="00350AA9">
        <w:rPr>
          <w:sz w:val="24"/>
          <w:szCs w:val="24"/>
        </w:rPr>
        <w:t xml:space="preserve"> </w:t>
      </w:r>
      <w:proofErr w:type="gramEnd"/>
      <w:r w:rsidR="003D20F0" w:rsidRPr="0001604F">
        <w:rPr>
          <w:sz w:val="24"/>
          <w:szCs w:val="24"/>
        </w:rPr>
        <w:t>More fundamentally</w:t>
      </w:r>
      <w:r w:rsidR="00935FB7">
        <w:rPr>
          <w:sz w:val="24"/>
          <w:szCs w:val="24"/>
        </w:rPr>
        <w:t>,</w:t>
      </w:r>
      <w:r w:rsidR="003D20F0" w:rsidRPr="0001604F">
        <w:rPr>
          <w:sz w:val="24"/>
          <w:szCs w:val="24"/>
        </w:rPr>
        <w:t xml:space="preserve"> the </w:t>
      </w:r>
      <w:r w:rsidR="006717DC" w:rsidRPr="0001604F">
        <w:rPr>
          <w:sz w:val="24"/>
          <w:szCs w:val="24"/>
        </w:rPr>
        <w:t xml:space="preserve">MPHA staff’s </w:t>
      </w:r>
      <w:r w:rsidR="00C41563" w:rsidRPr="0001604F">
        <w:rPr>
          <w:sz w:val="24"/>
          <w:szCs w:val="24"/>
        </w:rPr>
        <w:t xml:space="preserve">Draft </w:t>
      </w:r>
      <w:proofErr w:type="spellStart"/>
      <w:r w:rsidR="00702F1C" w:rsidRPr="0001604F">
        <w:rPr>
          <w:sz w:val="24"/>
          <w:szCs w:val="24"/>
        </w:rPr>
        <w:t>MTW</w:t>
      </w:r>
      <w:proofErr w:type="spellEnd"/>
      <w:r w:rsidR="00702F1C" w:rsidRPr="0001604F">
        <w:rPr>
          <w:sz w:val="24"/>
          <w:szCs w:val="24"/>
        </w:rPr>
        <w:t xml:space="preserve"> Annual Plan </w:t>
      </w:r>
      <w:r w:rsidR="00C41563" w:rsidRPr="0001604F">
        <w:rPr>
          <w:sz w:val="24"/>
          <w:szCs w:val="24"/>
        </w:rPr>
        <w:t xml:space="preserve">for 2018 and how MPHA staff </w:t>
      </w:r>
      <w:r w:rsidR="006717DC" w:rsidRPr="0001604F">
        <w:rPr>
          <w:sz w:val="24"/>
          <w:szCs w:val="24"/>
        </w:rPr>
        <w:t>have advanced their</w:t>
      </w:r>
      <w:r w:rsidR="00C41563" w:rsidRPr="0001604F">
        <w:rPr>
          <w:sz w:val="24"/>
          <w:szCs w:val="24"/>
        </w:rPr>
        <w:t xml:space="preserve"> plan </w:t>
      </w:r>
      <w:r w:rsidR="00702F1C" w:rsidRPr="0001604F">
        <w:rPr>
          <w:sz w:val="24"/>
          <w:szCs w:val="24"/>
        </w:rPr>
        <w:t xml:space="preserve">contains several indicators that the MPHA </w:t>
      </w:r>
      <w:r w:rsidR="00C41563" w:rsidRPr="0001604F">
        <w:rPr>
          <w:sz w:val="24"/>
          <w:szCs w:val="24"/>
        </w:rPr>
        <w:t xml:space="preserve">staff </w:t>
      </w:r>
      <w:r w:rsidR="00702F1C" w:rsidRPr="0001604F">
        <w:rPr>
          <w:sz w:val="24"/>
          <w:szCs w:val="24"/>
        </w:rPr>
        <w:t xml:space="preserve">has already </w:t>
      </w:r>
      <w:r w:rsidR="00702F1C" w:rsidRPr="0001604F">
        <w:rPr>
          <w:i/>
          <w:sz w:val="24"/>
          <w:szCs w:val="24"/>
        </w:rPr>
        <w:t>de facto</w:t>
      </w:r>
      <w:r w:rsidR="00702F1C" w:rsidRPr="0001604F">
        <w:rPr>
          <w:sz w:val="24"/>
          <w:szCs w:val="24"/>
        </w:rPr>
        <w:t xml:space="preserve"> decided to </w:t>
      </w:r>
      <w:r w:rsidR="00C41563" w:rsidRPr="0001604F">
        <w:rPr>
          <w:sz w:val="24"/>
          <w:szCs w:val="24"/>
        </w:rPr>
        <w:t xml:space="preserve">move forward with the </w:t>
      </w:r>
      <w:r w:rsidR="00702F1C" w:rsidRPr="0001604F">
        <w:rPr>
          <w:sz w:val="24"/>
          <w:szCs w:val="24"/>
        </w:rPr>
        <w:t>privatiz</w:t>
      </w:r>
      <w:r>
        <w:rPr>
          <w:sz w:val="24"/>
          <w:szCs w:val="24"/>
        </w:rPr>
        <w:t>ation of Glendale and other public housing properties</w:t>
      </w:r>
      <w:r w:rsidR="00FC0834">
        <w:rPr>
          <w:sz w:val="24"/>
          <w:szCs w:val="24"/>
        </w:rPr>
        <w:t xml:space="preserve"> with</w:t>
      </w:r>
      <w:r>
        <w:rPr>
          <w:sz w:val="24"/>
          <w:szCs w:val="24"/>
        </w:rPr>
        <w:t>out the approval of City of Minneapolis and Department of Housing Urban Development( HUD)</w:t>
      </w:r>
      <w:r w:rsidR="00FC0834">
        <w:rPr>
          <w:sz w:val="24"/>
          <w:szCs w:val="24"/>
        </w:rPr>
        <w:t xml:space="preserve">.  </w:t>
      </w:r>
      <w:r w:rsidR="003D2E33">
        <w:rPr>
          <w:sz w:val="24"/>
          <w:szCs w:val="24"/>
        </w:rPr>
        <w:t xml:space="preserve">MPHA privations plans  include </w:t>
      </w:r>
      <w:r w:rsidR="00FC0834">
        <w:rPr>
          <w:sz w:val="24"/>
          <w:szCs w:val="24"/>
        </w:rPr>
        <w:t xml:space="preserve"> 730 family homes, 42 high-rises, Glendale Townhomes, and 6000 units</w:t>
      </w:r>
      <w:proofErr w:type="gramStart"/>
      <w:r w:rsidR="00FC0834">
        <w:rPr>
          <w:sz w:val="24"/>
          <w:szCs w:val="24"/>
        </w:rPr>
        <w:t>.</w:t>
      </w:r>
      <w:r w:rsidR="001246A5">
        <w:rPr>
          <w:sz w:val="24"/>
          <w:szCs w:val="24"/>
        </w:rPr>
        <w:t xml:space="preserve"> </w:t>
      </w:r>
      <w:proofErr w:type="gramEnd"/>
      <w:r w:rsidR="001246A5">
        <w:rPr>
          <w:sz w:val="24"/>
          <w:szCs w:val="24"/>
        </w:rPr>
        <w:t xml:space="preserve">This is </w:t>
      </w:r>
      <w:proofErr w:type="gramStart"/>
      <w:r w:rsidR="001246A5">
        <w:rPr>
          <w:sz w:val="24"/>
          <w:szCs w:val="24"/>
        </w:rPr>
        <w:t>all the</w:t>
      </w:r>
      <w:proofErr w:type="gramEnd"/>
      <w:r w:rsidR="001246A5">
        <w:rPr>
          <w:sz w:val="24"/>
          <w:szCs w:val="24"/>
        </w:rPr>
        <w:t xml:space="preserve"> MPHA public housing portfolio from North Minneapolis to South displacing the communities and lives of 26,000 low income residents of Minneapolis, and 17,000 residents in MPHA waiting list. </w:t>
      </w:r>
      <w:r w:rsidR="00FC08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41563" w:rsidRPr="0001604F" w:rsidRDefault="00BC11C3" w:rsidP="001B7EEF">
      <w:pPr>
        <w:spacing w:line="240" w:lineRule="auto"/>
        <w:rPr>
          <w:sz w:val="24"/>
          <w:szCs w:val="24"/>
        </w:rPr>
      </w:pPr>
      <w:r w:rsidRPr="0001604F">
        <w:rPr>
          <w:sz w:val="24"/>
          <w:szCs w:val="24"/>
        </w:rPr>
        <w:t>T</w:t>
      </w:r>
      <w:r w:rsidR="00C41563" w:rsidRPr="0001604F">
        <w:rPr>
          <w:sz w:val="24"/>
          <w:szCs w:val="24"/>
        </w:rPr>
        <w:t>hose indicators</w:t>
      </w:r>
      <w:r w:rsidRPr="0001604F">
        <w:rPr>
          <w:sz w:val="24"/>
          <w:szCs w:val="24"/>
        </w:rPr>
        <w:t xml:space="preserve"> include:</w:t>
      </w:r>
    </w:p>
    <w:p w:rsidR="00800710" w:rsidRDefault="00C41563" w:rsidP="001B7EE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01604F">
        <w:rPr>
          <w:sz w:val="24"/>
          <w:szCs w:val="24"/>
        </w:rPr>
        <w:t xml:space="preserve"> </w:t>
      </w:r>
      <w:r w:rsidR="003D20F0" w:rsidRPr="0001604F">
        <w:rPr>
          <w:sz w:val="24"/>
          <w:szCs w:val="24"/>
        </w:rPr>
        <w:t>In advance of the much-heralded “public, portfolio-wide</w:t>
      </w:r>
      <w:r w:rsidR="0001604F" w:rsidRPr="0001604F">
        <w:rPr>
          <w:sz w:val="24"/>
          <w:szCs w:val="24"/>
        </w:rPr>
        <w:t xml:space="preserve"> </w:t>
      </w:r>
      <w:r w:rsidR="003D20F0" w:rsidRPr="0001604F">
        <w:rPr>
          <w:sz w:val="24"/>
          <w:szCs w:val="24"/>
        </w:rPr>
        <w:t>planning process to assess the needs and mission-oriented</w:t>
      </w:r>
      <w:r w:rsidR="0001604F" w:rsidRPr="0001604F">
        <w:rPr>
          <w:sz w:val="24"/>
          <w:szCs w:val="24"/>
        </w:rPr>
        <w:t xml:space="preserve"> </w:t>
      </w:r>
      <w:r w:rsidR="003D20F0" w:rsidRPr="0001604F">
        <w:rPr>
          <w:sz w:val="24"/>
          <w:szCs w:val="24"/>
        </w:rPr>
        <w:t>opportunities at all properties owned by the</w:t>
      </w:r>
      <w:r w:rsidR="0001604F" w:rsidRPr="0001604F">
        <w:rPr>
          <w:sz w:val="24"/>
          <w:szCs w:val="24"/>
        </w:rPr>
        <w:t xml:space="preserve"> </w:t>
      </w:r>
      <w:r w:rsidR="003D20F0" w:rsidRPr="0001604F">
        <w:rPr>
          <w:sz w:val="24"/>
          <w:szCs w:val="24"/>
        </w:rPr>
        <w:t>agency”</w:t>
      </w:r>
      <w:r w:rsidR="00350AA9">
        <w:rPr>
          <w:sz w:val="24"/>
          <w:szCs w:val="24"/>
        </w:rPr>
        <w:t xml:space="preserve"> that MPHA plans to undertake in 2018</w:t>
      </w:r>
      <w:r w:rsidR="0001604F" w:rsidRPr="0001604F">
        <w:rPr>
          <w:rStyle w:val="FootnoteReference"/>
          <w:sz w:val="24"/>
          <w:szCs w:val="24"/>
        </w:rPr>
        <w:footnoteReference w:id="1"/>
      </w:r>
      <w:r w:rsidR="003D20F0" w:rsidRPr="0001604F">
        <w:rPr>
          <w:sz w:val="24"/>
          <w:szCs w:val="24"/>
        </w:rPr>
        <w:t xml:space="preserve">, </w:t>
      </w:r>
      <w:r w:rsidR="00350AA9">
        <w:rPr>
          <w:sz w:val="24"/>
          <w:szCs w:val="24"/>
        </w:rPr>
        <w:t>this</w:t>
      </w:r>
      <w:r w:rsidR="0001604F" w:rsidRPr="0001604F">
        <w:rPr>
          <w:sz w:val="24"/>
          <w:szCs w:val="24"/>
        </w:rPr>
        <w:t xml:space="preserve"> staff Draft Plan </w:t>
      </w:r>
      <w:r w:rsidR="00D36363" w:rsidRPr="0001604F">
        <w:rPr>
          <w:sz w:val="24"/>
          <w:szCs w:val="24"/>
        </w:rPr>
        <w:t xml:space="preserve">quietly </w:t>
      </w:r>
      <w:r w:rsidR="003D20F0" w:rsidRPr="0001604F">
        <w:rPr>
          <w:sz w:val="24"/>
          <w:szCs w:val="24"/>
        </w:rPr>
        <w:t xml:space="preserve">moves to </w:t>
      </w:r>
      <w:r w:rsidR="0032056A" w:rsidRPr="0001604F">
        <w:rPr>
          <w:sz w:val="24"/>
          <w:szCs w:val="24"/>
        </w:rPr>
        <w:t>strip Glenda</w:t>
      </w:r>
      <w:r w:rsidR="00A317C1" w:rsidRPr="0001604F">
        <w:rPr>
          <w:sz w:val="24"/>
          <w:szCs w:val="24"/>
        </w:rPr>
        <w:t xml:space="preserve">le and other </w:t>
      </w:r>
      <w:r w:rsidR="0032056A" w:rsidRPr="0001604F">
        <w:rPr>
          <w:sz w:val="24"/>
          <w:szCs w:val="24"/>
        </w:rPr>
        <w:lastRenderedPageBreak/>
        <w:t xml:space="preserve">MPHA public housing properties </w:t>
      </w:r>
      <w:r w:rsidR="00A317C1" w:rsidRPr="0001604F">
        <w:rPr>
          <w:sz w:val="24"/>
          <w:szCs w:val="24"/>
        </w:rPr>
        <w:t xml:space="preserve">of </w:t>
      </w:r>
      <w:r w:rsidRPr="0001604F">
        <w:rPr>
          <w:sz w:val="24"/>
          <w:szCs w:val="24"/>
        </w:rPr>
        <w:t>D</w:t>
      </w:r>
      <w:r w:rsidR="0032056A" w:rsidRPr="0001604F">
        <w:rPr>
          <w:sz w:val="24"/>
          <w:szCs w:val="24"/>
        </w:rPr>
        <w:t xml:space="preserve">eclaration of Trust (DOT) </w:t>
      </w:r>
      <w:r w:rsidR="00A317C1" w:rsidRPr="0001604F">
        <w:rPr>
          <w:sz w:val="24"/>
          <w:szCs w:val="24"/>
        </w:rPr>
        <w:t>protections</w:t>
      </w:r>
      <w:r w:rsidR="0001604F" w:rsidRPr="0001604F">
        <w:rPr>
          <w:rStyle w:val="FootnoteReference"/>
          <w:sz w:val="24"/>
          <w:szCs w:val="24"/>
        </w:rPr>
        <w:footnoteReference w:id="2"/>
      </w:r>
      <w:r w:rsidR="00A317C1" w:rsidRPr="0001604F">
        <w:rPr>
          <w:sz w:val="24"/>
          <w:szCs w:val="24"/>
        </w:rPr>
        <w:t xml:space="preserve"> </w:t>
      </w:r>
      <w:r w:rsidR="00350AA9">
        <w:rPr>
          <w:sz w:val="24"/>
          <w:szCs w:val="24"/>
        </w:rPr>
        <w:t>and substitute</w:t>
      </w:r>
      <w:r w:rsidR="00A317C1" w:rsidRPr="0001604F">
        <w:rPr>
          <w:sz w:val="24"/>
          <w:szCs w:val="24"/>
        </w:rPr>
        <w:t xml:space="preserve"> </w:t>
      </w:r>
      <w:r w:rsidR="00D36363" w:rsidRPr="0001604F">
        <w:rPr>
          <w:sz w:val="24"/>
          <w:szCs w:val="24"/>
        </w:rPr>
        <w:t xml:space="preserve">weaker </w:t>
      </w:r>
      <w:r w:rsidRPr="0001604F">
        <w:rPr>
          <w:sz w:val="24"/>
          <w:szCs w:val="24"/>
        </w:rPr>
        <w:t>L</w:t>
      </w:r>
      <w:r w:rsidR="006717DC" w:rsidRPr="0001604F">
        <w:rPr>
          <w:sz w:val="24"/>
          <w:szCs w:val="24"/>
        </w:rPr>
        <w:t>and Use Restriction Agreements (</w:t>
      </w:r>
      <w:proofErr w:type="spellStart"/>
      <w:r w:rsidR="006717DC" w:rsidRPr="0001604F">
        <w:rPr>
          <w:sz w:val="24"/>
          <w:szCs w:val="24"/>
        </w:rPr>
        <w:t>L</w:t>
      </w:r>
      <w:r w:rsidRPr="0001604F">
        <w:rPr>
          <w:sz w:val="24"/>
          <w:szCs w:val="24"/>
        </w:rPr>
        <w:t>URA</w:t>
      </w:r>
      <w:r w:rsidR="006717DC" w:rsidRPr="0001604F">
        <w:rPr>
          <w:sz w:val="24"/>
          <w:szCs w:val="24"/>
        </w:rPr>
        <w:t>s</w:t>
      </w:r>
      <w:proofErr w:type="spellEnd"/>
      <w:r w:rsidR="006717DC" w:rsidRPr="0001604F">
        <w:rPr>
          <w:sz w:val="24"/>
          <w:szCs w:val="24"/>
        </w:rPr>
        <w:t>)</w:t>
      </w:r>
      <w:r w:rsidR="0001604F" w:rsidRPr="0001604F">
        <w:rPr>
          <w:rStyle w:val="FootnoteReference"/>
          <w:sz w:val="24"/>
          <w:szCs w:val="24"/>
        </w:rPr>
        <w:footnoteReference w:id="3"/>
      </w:r>
      <w:r w:rsidR="006717DC" w:rsidRPr="0001604F">
        <w:rPr>
          <w:sz w:val="24"/>
          <w:szCs w:val="24"/>
        </w:rPr>
        <w:t xml:space="preserve"> </w:t>
      </w:r>
      <w:r w:rsidR="0001604F" w:rsidRPr="0001604F">
        <w:rPr>
          <w:sz w:val="24"/>
          <w:szCs w:val="24"/>
        </w:rPr>
        <w:t xml:space="preserve">, a move that opens the properties to </w:t>
      </w:r>
      <w:r w:rsidR="0032056A" w:rsidRPr="0001604F">
        <w:rPr>
          <w:sz w:val="24"/>
          <w:szCs w:val="24"/>
        </w:rPr>
        <w:t xml:space="preserve">private investment at the cost of </w:t>
      </w:r>
      <w:r w:rsidR="00770285" w:rsidRPr="0001604F">
        <w:rPr>
          <w:sz w:val="24"/>
          <w:szCs w:val="24"/>
        </w:rPr>
        <w:t xml:space="preserve">1) </w:t>
      </w:r>
      <w:r w:rsidR="006717DC" w:rsidRPr="0001604F">
        <w:rPr>
          <w:sz w:val="24"/>
          <w:szCs w:val="24"/>
        </w:rPr>
        <w:t xml:space="preserve">eliminating </w:t>
      </w:r>
      <w:r w:rsidR="00D36363" w:rsidRPr="0001604F">
        <w:rPr>
          <w:sz w:val="24"/>
          <w:szCs w:val="24"/>
        </w:rPr>
        <w:t xml:space="preserve">access by families with incomes below 30% of </w:t>
      </w:r>
      <w:r w:rsidR="00770285" w:rsidRPr="0001604F">
        <w:rPr>
          <w:sz w:val="24"/>
          <w:szCs w:val="24"/>
        </w:rPr>
        <w:t>this area’s median income</w:t>
      </w:r>
      <w:r w:rsidR="00B5435B">
        <w:rPr>
          <w:rStyle w:val="FootnoteReference"/>
          <w:sz w:val="24"/>
          <w:szCs w:val="24"/>
        </w:rPr>
        <w:footnoteReference w:id="4"/>
      </w:r>
      <w:r w:rsidR="00DC5AC0">
        <w:rPr>
          <w:sz w:val="24"/>
          <w:szCs w:val="24"/>
        </w:rPr>
        <w:t xml:space="preserve"> ( AMI) </w:t>
      </w:r>
      <w:r w:rsidR="00770285" w:rsidRPr="0001604F">
        <w:rPr>
          <w:sz w:val="24"/>
          <w:szCs w:val="24"/>
        </w:rPr>
        <w:t xml:space="preserve"> and 2) opening the door to total and permanent loss of this housing with</w:t>
      </w:r>
      <w:r w:rsidR="002916E2">
        <w:rPr>
          <w:sz w:val="24"/>
          <w:szCs w:val="24"/>
        </w:rPr>
        <w:t xml:space="preserve">in a relatively short timeframe, 3) resulting in displacement of low-income residents, </w:t>
      </w:r>
      <w:r w:rsidR="003D2E33">
        <w:rPr>
          <w:sz w:val="24"/>
          <w:szCs w:val="24"/>
        </w:rPr>
        <w:t xml:space="preserve">and </w:t>
      </w:r>
      <w:r w:rsidR="002916E2">
        <w:rPr>
          <w:sz w:val="24"/>
          <w:szCs w:val="24"/>
        </w:rPr>
        <w:t>homelessnes</w:t>
      </w:r>
      <w:r w:rsidR="003D2E33">
        <w:rPr>
          <w:sz w:val="24"/>
          <w:szCs w:val="24"/>
        </w:rPr>
        <w:t>s. This will also dismantle the</w:t>
      </w:r>
      <w:r w:rsidR="00DC5AC0">
        <w:rPr>
          <w:sz w:val="24"/>
          <w:szCs w:val="24"/>
        </w:rPr>
        <w:t xml:space="preserve"> current </w:t>
      </w:r>
      <w:r w:rsidR="002916E2">
        <w:rPr>
          <w:sz w:val="24"/>
          <w:szCs w:val="24"/>
        </w:rPr>
        <w:t>public housing foundation</w:t>
      </w:r>
      <w:r w:rsidR="00DC5AC0">
        <w:rPr>
          <w:sz w:val="24"/>
          <w:szCs w:val="24"/>
        </w:rPr>
        <w:t xml:space="preserve"> that residents rely on which is income based rent </w:t>
      </w:r>
      <w:r w:rsidR="003D2E33">
        <w:rPr>
          <w:sz w:val="24"/>
          <w:szCs w:val="24"/>
        </w:rPr>
        <w:t>and charges</w:t>
      </w:r>
      <w:r w:rsidR="002916E2">
        <w:rPr>
          <w:sz w:val="24"/>
          <w:szCs w:val="24"/>
        </w:rPr>
        <w:t xml:space="preserve"> 30% of residents </w:t>
      </w:r>
      <w:r w:rsidR="00DC5AC0">
        <w:rPr>
          <w:sz w:val="24"/>
          <w:szCs w:val="24"/>
        </w:rPr>
        <w:t xml:space="preserve">individual monthly income for rent. </w:t>
      </w:r>
    </w:p>
    <w:p w:rsidR="00800710" w:rsidRDefault="00800710" w:rsidP="001B7EEF">
      <w:pPr>
        <w:pStyle w:val="ListParagraph"/>
        <w:spacing w:line="240" w:lineRule="auto"/>
        <w:rPr>
          <w:sz w:val="24"/>
          <w:szCs w:val="24"/>
        </w:rPr>
      </w:pPr>
    </w:p>
    <w:p w:rsidR="00C41563" w:rsidRPr="00800710" w:rsidRDefault="00775DA0" w:rsidP="001B7EEF">
      <w:pPr>
        <w:pStyle w:val="ListParagraph"/>
        <w:spacing w:line="240" w:lineRule="auto"/>
        <w:ind w:left="1440" w:right="720"/>
        <w:rPr>
          <w:sz w:val="24"/>
          <w:szCs w:val="24"/>
        </w:rPr>
      </w:pPr>
      <w:r w:rsidRPr="00775DA0">
        <w:rPr>
          <w:b/>
          <w:sz w:val="24"/>
          <w:szCs w:val="24"/>
        </w:rPr>
        <w:t>Recommendation:</w:t>
      </w:r>
      <w:r>
        <w:rPr>
          <w:sz w:val="24"/>
          <w:szCs w:val="24"/>
        </w:rPr>
        <w:t xml:space="preserve">  </w:t>
      </w:r>
      <w:r w:rsidR="003E765C" w:rsidRPr="00800710">
        <w:rPr>
          <w:sz w:val="24"/>
          <w:szCs w:val="24"/>
        </w:rPr>
        <w:t xml:space="preserve">The Draft Plan’s provision </w:t>
      </w:r>
      <w:r w:rsidR="00800710">
        <w:rPr>
          <w:sz w:val="24"/>
          <w:szCs w:val="24"/>
        </w:rPr>
        <w:t>initiating</w:t>
      </w:r>
      <w:r w:rsidR="003E765C" w:rsidRPr="00800710">
        <w:rPr>
          <w:sz w:val="24"/>
          <w:szCs w:val="24"/>
        </w:rPr>
        <w:t xml:space="preserve"> </w:t>
      </w:r>
      <w:r w:rsidR="003D2E33" w:rsidRPr="00800710">
        <w:rPr>
          <w:sz w:val="24"/>
          <w:szCs w:val="24"/>
        </w:rPr>
        <w:t>move MPHA properties</w:t>
      </w:r>
      <w:r w:rsidR="00800710">
        <w:rPr>
          <w:sz w:val="24"/>
          <w:szCs w:val="24"/>
        </w:rPr>
        <w:t xml:space="preserve"> </w:t>
      </w:r>
      <w:r w:rsidR="003E765C" w:rsidRPr="00800710">
        <w:rPr>
          <w:sz w:val="24"/>
          <w:szCs w:val="24"/>
        </w:rPr>
        <w:t xml:space="preserve">from </w:t>
      </w:r>
      <w:proofErr w:type="spellStart"/>
      <w:r w:rsidR="003E765C" w:rsidRPr="00800710">
        <w:rPr>
          <w:sz w:val="24"/>
          <w:szCs w:val="24"/>
        </w:rPr>
        <w:t>DOT</w:t>
      </w:r>
      <w:r w:rsidR="00800710">
        <w:rPr>
          <w:sz w:val="24"/>
          <w:szCs w:val="24"/>
        </w:rPr>
        <w:t>s</w:t>
      </w:r>
      <w:proofErr w:type="spellEnd"/>
      <w:r w:rsidR="003E765C" w:rsidRPr="00800710">
        <w:rPr>
          <w:sz w:val="24"/>
          <w:szCs w:val="24"/>
        </w:rPr>
        <w:t xml:space="preserve"> to </w:t>
      </w:r>
      <w:proofErr w:type="spellStart"/>
      <w:r w:rsidR="003E765C" w:rsidRPr="00800710">
        <w:rPr>
          <w:sz w:val="24"/>
          <w:szCs w:val="24"/>
        </w:rPr>
        <w:t>LURA</w:t>
      </w:r>
      <w:r w:rsidR="00800710">
        <w:rPr>
          <w:sz w:val="24"/>
          <w:szCs w:val="24"/>
        </w:rPr>
        <w:t>s</w:t>
      </w:r>
      <w:proofErr w:type="spellEnd"/>
      <w:r w:rsidR="003E765C" w:rsidRPr="00800710">
        <w:rPr>
          <w:sz w:val="24"/>
          <w:szCs w:val="24"/>
        </w:rPr>
        <w:t xml:space="preserve"> </w:t>
      </w:r>
      <w:proofErr w:type="gramStart"/>
      <w:r w:rsidR="00800710">
        <w:rPr>
          <w:sz w:val="24"/>
          <w:szCs w:val="24"/>
        </w:rPr>
        <w:t>should be removed</w:t>
      </w:r>
      <w:proofErr w:type="gramEnd"/>
      <w:r w:rsidR="00800710">
        <w:rPr>
          <w:sz w:val="24"/>
          <w:szCs w:val="24"/>
        </w:rPr>
        <w:t xml:space="preserve"> from the 2018 Plan.</w:t>
      </w:r>
      <w:r w:rsidR="00350AA9" w:rsidRPr="00800710">
        <w:rPr>
          <w:sz w:val="24"/>
          <w:szCs w:val="24"/>
        </w:rPr>
        <w:t xml:space="preserve"> </w:t>
      </w:r>
      <w:r w:rsidR="00800710">
        <w:rPr>
          <w:sz w:val="24"/>
          <w:szCs w:val="24"/>
        </w:rPr>
        <w:t xml:space="preserve"> See analysis of the move f</w:t>
      </w:r>
      <w:r w:rsidR="00350AA9" w:rsidRPr="00800710">
        <w:rPr>
          <w:sz w:val="24"/>
          <w:szCs w:val="24"/>
        </w:rPr>
        <w:t xml:space="preserve">rom DOT to </w:t>
      </w:r>
      <w:proofErr w:type="spellStart"/>
      <w:r w:rsidR="00350AA9" w:rsidRPr="00800710">
        <w:rPr>
          <w:sz w:val="24"/>
          <w:szCs w:val="24"/>
        </w:rPr>
        <w:t>LURA</w:t>
      </w:r>
      <w:proofErr w:type="spellEnd"/>
      <w:r w:rsidR="00350AA9" w:rsidRPr="00800710">
        <w:rPr>
          <w:sz w:val="24"/>
          <w:szCs w:val="24"/>
        </w:rPr>
        <w:t>, attached.</w:t>
      </w:r>
    </w:p>
    <w:p w:rsidR="00B035FA" w:rsidRDefault="00B035FA" w:rsidP="001B7EEF">
      <w:pPr>
        <w:pStyle w:val="ListParagraph"/>
        <w:spacing w:line="240" w:lineRule="auto"/>
        <w:rPr>
          <w:sz w:val="24"/>
          <w:szCs w:val="24"/>
        </w:rPr>
      </w:pPr>
    </w:p>
    <w:p w:rsidR="00DC5AC0" w:rsidRPr="0001604F" w:rsidRDefault="00DC5AC0" w:rsidP="001B7EEF">
      <w:pPr>
        <w:pStyle w:val="ListParagraph"/>
        <w:spacing w:line="240" w:lineRule="auto"/>
        <w:rPr>
          <w:sz w:val="24"/>
          <w:szCs w:val="24"/>
        </w:rPr>
      </w:pPr>
    </w:p>
    <w:p w:rsidR="00775DA0" w:rsidRPr="00DC5AC0" w:rsidRDefault="00C41563" w:rsidP="001B7EE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04F">
        <w:rPr>
          <w:sz w:val="24"/>
          <w:szCs w:val="24"/>
        </w:rPr>
        <w:t xml:space="preserve"> </w:t>
      </w:r>
      <w:r w:rsidR="00770285" w:rsidRPr="00DC5AC0">
        <w:rPr>
          <w:rFonts w:ascii="Times New Roman" w:hAnsi="Times New Roman" w:cs="Times New Roman"/>
          <w:sz w:val="24"/>
          <w:szCs w:val="24"/>
        </w:rPr>
        <w:t>The staff’s proposed b</w:t>
      </w:r>
      <w:r w:rsidRPr="00DC5AC0">
        <w:rPr>
          <w:rFonts w:ascii="Times New Roman" w:hAnsi="Times New Roman" w:cs="Times New Roman"/>
          <w:sz w:val="24"/>
          <w:szCs w:val="24"/>
        </w:rPr>
        <w:t xml:space="preserve">udget </w:t>
      </w:r>
      <w:r w:rsidR="00B5435B" w:rsidRPr="00DC5AC0">
        <w:rPr>
          <w:rFonts w:ascii="Times New Roman" w:hAnsi="Times New Roman" w:cs="Times New Roman"/>
          <w:sz w:val="24"/>
          <w:szCs w:val="24"/>
        </w:rPr>
        <w:t>(not one penny of capital funding</w:t>
      </w:r>
      <w:r w:rsidR="00DC5AC0" w:rsidRPr="00DC5AC0">
        <w:rPr>
          <w:rFonts w:ascii="Times New Roman" w:hAnsi="Times New Roman" w:cs="Times New Roman"/>
          <w:sz w:val="24"/>
          <w:szCs w:val="24"/>
        </w:rPr>
        <w:t xml:space="preserve"> is </w:t>
      </w:r>
      <w:r w:rsidR="00B5435B" w:rsidRPr="00DC5AC0">
        <w:rPr>
          <w:rFonts w:ascii="Times New Roman" w:hAnsi="Times New Roman" w:cs="Times New Roman"/>
          <w:sz w:val="24"/>
          <w:szCs w:val="24"/>
        </w:rPr>
        <w:t xml:space="preserve"> for Glendale</w:t>
      </w:r>
      <w:r w:rsidR="003D2E33">
        <w:rPr>
          <w:rFonts w:ascii="Times New Roman" w:hAnsi="Times New Roman" w:cs="Times New Roman"/>
          <w:sz w:val="24"/>
          <w:szCs w:val="24"/>
        </w:rPr>
        <w:t xml:space="preserve"> Townhomes!)</w:t>
      </w:r>
      <w:proofErr w:type="gramStart"/>
      <w:r w:rsidR="00DC5AC0" w:rsidRPr="00DC5A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DC5AC0" w:rsidRPr="00DC5AC0">
        <w:rPr>
          <w:rFonts w:ascii="Times New Roman" w:hAnsi="Times New Roman" w:cs="Times New Roman"/>
          <w:sz w:val="24"/>
          <w:szCs w:val="24"/>
        </w:rPr>
        <w:t xml:space="preserve">This </w:t>
      </w:r>
      <w:r w:rsidRPr="00DC5AC0">
        <w:rPr>
          <w:rFonts w:ascii="Times New Roman" w:hAnsi="Times New Roman" w:cs="Times New Roman"/>
          <w:sz w:val="24"/>
          <w:szCs w:val="24"/>
        </w:rPr>
        <w:t>continues to under</w:t>
      </w:r>
      <w:r w:rsidR="00A317C1" w:rsidRPr="00DC5AC0">
        <w:rPr>
          <w:rFonts w:ascii="Times New Roman" w:hAnsi="Times New Roman" w:cs="Times New Roman"/>
          <w:sz w:val="24"/>
          <w:szCs w:val="24"/>
        </w:rPr>
        <w:t>mine Glen</w:t>
      </w:r>
      <w:r w:rsidRPr="00DC5AC0">
        <w:rPr>
          <w:rFonts w:ascii="Times New Roman" w:hAnsi="Times New Roman" w:cs="Times New Roman"/>
          <w:sz w:val="24"/>
          <w:szCs w:val="24"/>
        </w:rPr>
        <w:t>dale</w:t>
      </w:r>
      <w:r w:rsidR="003D2E33">
        <w:rPr>
          <w:rFonts w:ascii="Times New Roman" w:hAnsi="Times New Roman" w:cs="Times New Roman"/>
          <w:sz w:val="24"/>
          <w:szCs w:val="24"/>
        </w:rPr>
        <w:t xml:space="preserve"> Townhome</w:t>
      </w:r>
      <w:r w:rsidRPr="00DC5AC0">
        <w:rPr>
          <w:rFonts w:ascii="Times New Roman" w:hAnsi="Times New Roman" w:cs="Times New Roman"/>
          <w:sz w:val="24"/>
          <w:szCs w:val="24"/>
        </w:rPr>
        <w:t>s</w:t>
      </w:r>
      <w:r w:rsidR="003D2E33">
        <w:rPr>
          <w:rFonts w:ascii="Times New Roman" w:hAnsi="Times New Roman" w:cs="Times New Roman"/>
          <w:sz w:val="24"/>
          <w:szCs w:val="24"/>
        </w:rPr>
        <w:t>’</w:t>
      </w:r>
      <w:r w:rsidRPr="00DC5AC0">
        <w:rPr>
          <w:rFonts w:ascii="Times New Roman" w:hAnsi="Times New Roman" w:cs="Times New Roman"/>
          <w:sz w:val="24"/>
          <w:szCs w:val="24"/>
        </w:rPr>
        <w:t xml:space="preserve"> viability</w:t>
      </w:r>
      <w:r w:rsidR="00770285" w:rsidRPr="00DC5AC0">
        <w:rPr>
          <w:rFonts w:ascii="Times New Roman" w:hAnsi="Times New Roman" w:cs="Times New Roman"/>
          <w:sz w:val="24"/>
          <w:szCs w:val="24"/>
        </w:rPr>
        <w:t xml:space="preserve">, </w:t>
      </w:r>
      <w:r w:rsidRPr="00DC5AC0">
        <w:rPr>
          <w:rFonts w:ascii="Times New Roman" w:hAnsi="Times New Roman" w:cs="Times New Roman"/>
          <w:sz w:val="24"/>
          <w:szCs w:val="24"/>
        </w:rPr>
        <w:t xml:space="preserve">starving Glendale of “stitch in time” </w:t>
      </w:r>
      <w:proofErr w:type="spellStart"/>
      <w:r w:rsidRPr="00DC5AC0">
        <w:rPr>
          <w:rFonts w:ascii="Times New Roman" w:hAnsi="Times New Roman" w:cs="Times New Roman"/>
          <w:sz w:val="24"/>
          <w:szCs w:val="24"/>
        </w:rPr>
        <w:t>capitol</w:t>
      </w:r>
      <w:proofErr w:type="spellEnd"/>
      <w:r w:rsidRPr="00DC5AC0">
        <w:rPr>
          <w:rFonts w:ascii="Times New Roman" w:hAnsi="Times New Roman" w:cs="Times New Roman"/>
          <w:sz w:val="24"/>
          <w:szCs w:val="24"/>
        </w:rPr>
        <w:t xml:space="preserve"> funding,</w:t>
      </w:r>
      <w:r w:rsidR="00A55D4A" w:rsidRPr="00DC5AC0">
        <w:rPr>
          <w:rFonts w:ascii="Times New Roman" w:hAnsi="Times New Roman" w:cs="Times New Roman"/>
          <w:sz w:val="24"/>
          <w:szCs w:val="24"/>
        </w:rPr>
        <w:t xml:space="preserve"> </w:t>
      </w:r>
      <w:r w:rsidRPr="00DC5AC0">
        <w:rPr>
          <w:rFonts w:ascii="Times New Roman" w:hAnsi="Times New Roman" w:cs="Times New Roman"/>
          <w:sz w:val="24"/>
          <w:szCs w:val="24"/>
        </w:rPr>
        <w:t>build</w:t>
      </w:r>
      <w:r w:rsidR="00A55D4A" w:rsidRPr="00DC5AC0">
        <w:rPr>
          <w:rFonts w:ascii="Times New Roman" w:hAnsi="Times New Roman" w:cs="Times New Roman"/>
          <w:sz w:val="24"/>
          <w:szCs w:val="24"/>
        </w:rPr>
        <w:t>ing by</w:t>
      </w:r>
      <w:r w:rsidR="00BC11C3" w:rsidRPr="00DC5AC0">
        <w:rPr>
          <w:rFonts w:ascii="Times New Roman" w:hAnsi="Times New Roman" w:cs="Times New Roman"/>
          <w:sz w:val="24"/>
          <w:szCs w:val="24"/>
        </w:rPr>
        <w:t xml:space="preserve"> this </w:t>
      </w:r>
      <w:r w:rsidR="006717DC" w:rsidRPr="00DC5AC0">
        <w:rPr>
          <w:rFonts w:ascii="Times New Roman" w:hAnsi="Times New Roman" w:cs="Times New Roman"/>
          <w:sz w:val="24"/>
          <w:szCs w:val="24"/>
        </w:rPr>
        <w:t>manipulation a</w:t>
      </w:r>
      <w:r w:rsidR="00BC11C3" w:rsidRPr="00DC5AC0">
        <w:rPr>
          <w:rFonts w:ascii="Times New Roman" w:hAnsi="Times New Roman" w:cs="Times New Roman"/>
          <w:sz w:val="24"/>
          <w:szCs w:val="24"/>
        </w:rPr>
        <w:t xml:space="preserve"> </w:t>
      </w:r>
      <w:r w:rsidRPr="00DC5AC0">
        <w:rPr>
          <w:rFonts w:ascii="Times New Roman" w:hAnsi="Times New Roman" w:cs="Times New Roman"/>
          <w:sz w:val="24"/>
          <w:szCs w:val="24"/>
        </w:rPr>
        <w:t xml:space="preserve">case for </w:t>
      </w:r>
      <w:r w:rsidR="00770285" w:rsidRPr="00DC5AC0">
        <w:rPr>
          <w:rFonts w:ascii="Times New Roman" w:hAnsi="Times New Roman" w:cs="Times New Roman"/>
          <w:sz w:val="24"/>
          <w:szCs w:val="24"/>
        </w:rPr>
        <w:t xml:space="preserve">the </w:t>
      </w:r>
      <w:r w:rsidRPr="00DC5AC0">
        <w:rPr>
          <w:rFonts w:ascii="Times New Roman" w:hAnsi="Times New Roman" w:cs="Times New Roman"/>
          <w:sz w:val="24"/>
          <w:szCs w:val="24"/>
        </w:rPr>
        <w:t xml:space="preserve">“inevitability” of </w:t>
      </w:r>
      <w:r w:rsidR="00770285" w:rsidRPr="00DC5AC0">
        <w:rPr>
          <w:rFonts w:ascii="Times New Roman" w:hAnsi="Times New Roman" w:cs="Times New Roman"/>
          <w:sz w:val="24"/>
          <w:szCs w:val="24"/>
        </w:rPr>
        <w:t xml:space="preserve">soliciting </w:t>
      </w:r>
      <w:r w:rsidRPr="00DC5AC0">
        <w:rPr>
          <w:rFonts w:ascii="Times New Roman" w:hAnsi="Times New Roman" w:cs="Times New Roman"/>
          <w:sz w:val="24"/>
          <w:szCs w:val="24"/>
        </w:rPr>
        <w:t xml:space="preserve">private financing to “save” </w:t>
      </w:r>
      <w:r w:rsidR="00DC5AC0" w:rsidRPr="00DC5AC0">
        <w:rPr>
          <w:rFonts w:ascii="Times New Roman" w:hAnsi="Times New Roman" w:cs="Times New Roman"/>
          <w:sz w:val="24"/>
          <w:szCs w:val="24"/>
        </w:rPr>
        <w:t>(and own! and redevelop!</w:t>
      </w:r>
      <w:r w:rsidR="003D2E33" w:rsidRPr="00DC5AC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DC5AC0">
        <w:rPr>
          <w:rFonts w:ascii="Times New Roman" w:hAnsi="Times New Roman" w:cs="Times New Roman"/>
          <w:sz w:val="24"/>
          <w:szCs w:val="24"/>
        </w:rPr>
        <w:t>Glendale</w:t>
      </w:r>
      <w:r w:rsidR="003D2E33">
        <w:rPr>
          <w:rFonts w:ascii="Times New Roman" w:hAnsi="Times New Roman" w:cs="Times New Roman"/>
          <w:sz w:val="24"/>
          <w:szCs w:val="24"/>
        </w:rPr>
        <w:t xml:space="preserve"> Townhomes</w:t>
      </w:r>
      <w:r w:rsidR="003D2E33" w:rsidRPr="00DC5A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2E33" w:rsidRPr="00DC5A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C5AC0" w:rsidRPr="00DC5AC0">
        <w:rPr>
          <w:rFonts w:ascii="Times New Roman" w:hAnsi="Times New Roman" w:cs="Times New Roman"/>
          <w:sz w:val="24"/>
          <w:szCs w:val="24"/>
        </w:rPr>
        <w:t>Disinvest  of</w:t>
      </w:r>
      <w:proofErr w:type="gramEnd"/>
      <w:r w:rsidR="00DC5AC0" w:rsidRPr="00DC5AC0">
        <w:rPr>
          <w:rFonts w:ascii="Times New Roman" w:hAnsi="Times New Roman" w:cs="Times New Roman"/>
          <w:sz w:val="24"/>
          <w:szCs w:val="24"/>
        </w:rPr>
        <w:t xml:space="preserve"> Glendale Townhomes is intentional</w:t>
      </w:r>
      <w:r w:rsidR="003D2E33">
        <w:rPr>
          <w:rFonts w:ascii="Times New Roman" w:hAnsi="Times New Roman" w:cs="Times New Roman"/>
          <w:sz w:val="24"/>
          <w:szCs w:val="24"/>
        </w:rPr>
        <w:t xml:space="preserve">  and the other public housing properties are next. </w:t>
      </w:r>
      <w:r w:rsidR="003D2E33" w:rsidRPr="00DC5AC0">
        <w:rPr>
          <w:rFonts w:ascii="Times New Roman" w:hAnsi="Times New Roman" w:cs="Times New Roman"/>
          <w:sz w:val="24"/>
          <w:szCs w:val="24"/>
        </w:rPr>
        <w:t xml:space="preserve"> </w:t>
      </w:r>
      <w:r w:rsidR="00DC5AC0" w:rsidRPr="00DC5AC0">
        <w:rPr>
          <w:rFonts w:ascii="Times New Roman" w:hAnsi="Times New Roman" w:cs="Times New Roman"/>
          <w:sz w:val="24"/>
          <w:szCs w:val="24"/>
        </w:rPr>
        <w:t xml:space="preserve">We will </w:t>
      </w:r>
      <w:r w:rsidR="00DC5AC0" w:rsidRPr="00DC5AC0">
        <w:rPr>
          <w:rFonts w:ascii="Times New Roman" w:eastAsia="Times New Roman" w:hAnsi="Times New Roman" w:cs="Times New Roman"/>
          <w:sz w:val="24"/>
          <w:szCs w:val="24"/>
        </w:rPr>
        <w:t xml:space="preserve">hold MPHA accountable to fix &amp; repair Glendale Townhomes with zero displacement, and zero privatization of Glendale Public Housing.  Funding is </w:t>
      </w:r>
      <w:r w:rsidR="003D2E33" w:rsidRPr="00DC5AC0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="00DC5AC0" w:rsidRPr="00DC5AC0">
        <w:rPr>
          <w:rFonts w:ascii="Times New Roman" w:eastAsia="Times New Roman" w:hAnsi="Times New Roman" w:cs="Times New Roman"/>
          <w:sz w:val="24"/>
          <w:szCs w:val="24"/>
        </w:rPr>
        <w:t xml:space="preserve"> from City and </w:t>
      </w:r>
      <w:r w:rsidR="003D2E33" w:rsidRPr="00DC5AC0">
        <w:rPr>
          <w:rFonts w:ascii="Times New Roman" w:eastAsia="Times New Roman" w:hAnsi="Times New Roman" w:cs="Times New Roman"/>
          <w:sz w:val="24"/>
          <w:szCs w:val="24"/>
        </w:rPr>
        <w:t>State, which</w:t>
      </w:r>
      <w:r w:rsidR="00DC5AC0" w:rsidRPr="00DC5AC0">
        <w:rPr>
          <w:rFonts w:ascii="Times New Roman" w:eastAsia="Times New Roman" w:hAnsi="Times New Roman" w:cs="Times New Roman"/>
          <w:sz w:val="24"/>
          <w:szCs w:val="24"/>
        </w:rPr>
        <w:t xml:space="preserve"> MPHA chose not to access </w:t>
      </w:r>
      <w:r w:rsidR="003D2E33" w:rsidRPr="00DC5AC0">
        <w:rPr>
          <w:rFonts w:ascii="Times New Roman" w:eastAsia="Times New Roman" w:hAnsi="Times New Roman" w:cs="Times New Roman"/>
          <w:sz w:val="24"/>
          <w:szCs w:val="24"/>
        </w:rPr>
        <w:t>to fix</w:t>
      </w:r>
      <w:r w:rsidR="00DC5AC0" w:rsidRPr="00DC5AC0">
        <w:rPr>
          <w:rFonts w:ascii="Times New Roman" w:eastAsia="Times New Roman" w:hAnsi="Times New Roman" w:cs="Times New Roman"/>
          <w:sz w:val="24"/>
          <w:szCs w:val="24"/>
        </w:rPr>
        <w:t xml:space="preserve"> and repair Glendale. </w:t>
      </w:r>
      <w:r w:rsidR="003E765C" w:rsidRPr="00DC5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DA0" w:rsidRPr="00DC5AC0" w:rsidRDefault="00775DA0" w:rsidP="001B7E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5FA" w:rsidRPr="00775DA0" w:rsidRDefault="00775DA0" w:rsidP="001B7EEF">
      <w:pPr>
        <w:pStyle w:val="ListParagraph"/>
        <w:spacing w:line="240" w:lineRule="auto"/>
        <w:ind w:left="1440" w:right="720"/>
        <w:rPr>
          <w:sz w:val="24"/>
          <w:szCs w:val="24"/>
        </w:rPr>
      </w:pPr>
      <w:r w:rsidRPr="00775DA0">
        <w:rPr>
          <w:b/>
          <w:sz w:val="24"/>
          <w:szCs w:val="24"/>
        </w:rPr>
        <w:t>Recommendation:</w:t>
      </w:r>
      <w:r>
        <w:rPr>
          <w:sz w:val="24"/>
          <w:szCs w:val="24"/>
        </w:rPr>
        <w:t xml:space="preserve">  </w:t>
      </w:r>
      <w:r w:rsidR="003E765C" w:rsidRPr="00775DA0">
        <w:rPr>
          <w:sz w:val="24"/>
          <w:szCs w:val="24"/>
        </w:rPr>
        <w:t xml:space="preserve">The </w:t>
      </w:r>
      <w:r w:rsidR="00350AA9" w:rsidRPr="00775DA0">
        <w:rPr>
          <w:sz w:val="24"/>
          <w:szCs w:val="24"/>
        </w:rPr>
        <w:t xml:space="preserve">MPHA Board should return the </w:t>
      </w:r>
      <w:r w:rsidR="003E765C" w:rsidRPr="00775DA0">
        <w:rPr>
          <w:sz w:val="24"/>
          <w:szCs w:val="24"/>
        </w:rPr>
        <w:t>Draft Plan’s budget to staff for development</w:t>
      </w:r>
      <w:r w:rsidR="00350AA9" w:rsidRPr="00775DA0">
        <w:rPr>
          <w:sz w:val="24"/>
          <w:szCs w:val="24"/>
        </w:rPr>
        <w:t>,</w:t>
      </w:r>
      <w:r w:rsidR="003E765C" w:rsidRPr="00775DA0">
        <w:rPr>
          <w:sz w:val="24"/>
          <w:szCs w:val="24"/>
        </w:rPr>
        <w:t xml:space="preserve"> to treat Glendale’</w:t>
      </w:r>
      <w:r>
        <w:rPr>
          <w:sz w:val="24"/>
          <w:szCs w:val="24"/>
        </w:rPr>
        <w:t>s capita</w:t>
      </w:r>
      <w:r w:rsidR="003E765C" w:rsidRPr="00775DA0">
        <w:rPr>
          <w:sz w:val="24"/>
          <w:szCs w:val="24"/>
        </w:rPr>
        <w:t>l improvement needs fairly</w:t>
      </w:r>
      <w:r w:rsidR="00D25A0F" w:rsidRPr="00775DA0">
        <w:rPr>
          <w:sz w:val="24"/>
          <w:szCs w:val="24"/>
        </w:rPr>
        <w:t xml:space="preserve"> and on a par with other MPHA properties.</w:t>
      </w:r>
      <w:r w:rsidR="00ED4C76" w:rsidRPr="00775DA0">
        <w:rPr>
          <w:sz w:val="24"/>
          <w:szCs w:val="24"/>
        </w:rPr>
        <w:t xml:space="preserve">   </w:t>
      </w:r>
    </w:p>
    <w:p w:rsidR="00B035FA" w:rsidRPr="0001604F" w:rsidRDefault="00B035FA" w:rsidP="001B7EEF">
      <w:pPr>
        <w:pStyle w:val="ListParagraph"/>
        <w:spacing w:line="240" w:lineRule="auto"/>
        <w:rPr>
          <w:sz w:val="24"/>
          <w:szCs w:val="24"/>
        </w:rPr>
      </w:pPr>
    </w:p>
    <w:p w:rsidR="00E454FB" w:rsidRPr="0001604F" w:rsidRDefault="00A6373D" w:rsidP="001B7EE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01604F">
        <w:rPr>
          <w:sz w:val="24"/>
          <w:szCs w:val="24"/>
        </w:rPr>
        <w:t xml:space="preserve">While </w:t>
      </w:r>
      <w:r w:rsidR="006717DC" w:rsidRPr="0001604F">
        <w:rPr>
          <w:sz w:val="24"/>
          <w:szCs w:val="24"/>
        </w:rPr>
        <w:t>violati</w:t>
      </w:r>
      <w:r w:rsidRPr="0001604F">
        <w:rPr>
          <w:sz w:val="24"/>
          <w:szCs w:val="24"/>
        </w:rPr>
        <w:t xml:space="preserve">ng </w:t>
      </w:r>
      <w:r w:rsidR="006717DC" w:rsidRPr="0001604F">
        <w:rPr>
          <w:sz w:val="24"/>
          <w:szCs w:val="24"/>
        </w:rPr>
        <w:t xml:space="preserve">residents’ participation and translation rights, </w:t>
      </w:r>
      <w:r w:rsidRPr="0001604F">
        <w:rPr>
          <w:sz w:val="24"/>
          <w:szCs w:val="24"/>
        </w:rPr>
        <w:t xml:space="preserve">MPHA staff </w:t>
      </w:r>
      <w:r w:rsidR="006717DC" w:rsidRPr="0001604F">
        <w:rPr>
          <w:sz w:val="24"/>
          <w:szCs w:val="24"/>
        </w:rPr>
        <w:t>a</w:t>
      </w:r>
      <w:r w:rsidR="00C41563" w:rsidRPr="0001604F">
        <w:rPr>
          <w:sz w:val="24"/>
          <w:szCs w:val="24"/>
        </w:rPr>
        <w:t>ttempt</w:t>
      </w:r>
      <w:r w:rsidRPr="0001604F">
        <w:rPr>
          <w:sz w:val="24"/>
          <w:szCs w:val="24"/>
        </w:rPr>
        <w:t>ed</w:t>
      </w:r>
      <w:r w:rsidR="00350AA9">
        <w:rPr>
          <w:sz w:val="24"/>
          <w:szCs w:val="24"/>
        </w:rPr>
        <w:t xml:space="preserve"> to push the </w:t>
      </w:r>
      <w:r w:rsidR="00A317C1" w:rsidRPr="0001604F">
        <w:rPr>
          <w:sz w:val="24"/>
          <w:szCs w:val="24"/>
        </w:rPr>
        <w:t>MPHA Board</w:t>
      </w:r>
      <w:r w:rsidR="00350AA9">
        <w:rPr>
          <w:sz w:val="24"/>
          <w:szCs w:val="24"/>
        </w:rPr>
        <w:t xml:space="preserve"> </w:t>
      </w:r>
      <w:r w:rsidR="00A317C1" w:rsidRPr="0001604F">
        <w:rPr>
          <w:sz w:val="24"/>
          <w:szCs w:val="24"/>
        </w:rPr>
        <w:t xml:space="preserve"> to adopt the </w:t>
      </w:r>
      <w:r w:rsidR="00C41563" w:rsidRPr="0001604F">
        <w:rPr>
          <w:sz w:val="24"/>
          <w:szCs w:val="24"/>
        </w:rPr>
        <w:t>Draft</w:t>
      </w:r>
      <w:r w:rsidR="00A317C1" w:rsidRPr="0001604F">
        <w:rPr>
          <w:sz w:val="24"/>
          <w:szCs w:val="24"/>
        </w:rPr>
        <w:t xml:space="preserve"> </w:t>
      </w:r>
      <w:proofErr w:type="spellStart"/>
      <w:r w:rsidR="00A317C1" w:rsidRPr="0001604F">
        <w:rPr>
          <w:sz w:val="24"/>
          <w:szCs w:val="24"/>
        </w:rPr>
        <w:t>MTW</w:t>
      </w:r>
      <w:proofErr w:type="spellEnd"/>
      <w:r w:rsidR="00A317C1" w:rsidRPr="0001604F">
        <w:rPr>
          <w:sz w:val="24"/>
          <w:szCs w:val="24"/>
        </w:rPr>
        <w:t xml:space="preserve"> Annual Plan 2018</w:t>
      </w:r>
      <w:r w:rsidR="00D36363" w:rsidRPr="0001604F">
        <w:rPr>
          <w:sz w:val="24"/>
          <w:szCs w:val="24"/>
        </w:rPr>
        <w:t xml:space="preserve"> </w:t>
      </w:r>
      <w:r w:rsidR="006717DC" w:rsidRPr="0001604F">
        <w:rPr>
          <w:sz w:val="24"/>
          <w:szCs w:val="24"/>
        </w:rPr>
        <w:t>at its August Board Meeting</w:t>
      </w:r>
      <w:proofErr w:type="gramStart"/>
      <w:r w:rsidR="00D36363" w:rsidRPr="0001604F">
        <w:rPr>
          <w:sz w:val="24"/>
          <w:szCs w:val="24"/>
        </w:rPr>
        <w:t xml:space="preserve">. </w:t>
      </w:r>
      <w:r w:rsidR="006717DC" w:rsidRPr="0001604F">
        <w:rPr>
          <w:sz w:val="24"/>
          <w:szCs w:val="24"/>
        </w:rPr>
        <w:t xml:space="preserve">  </w:t>
      </w:r>
      <w:proofErr w:type="gramEnd"/>
      <w:r w:rsidRPr="0001604F">
        <w:rPr>
          <w:sz w:val="24"/>
          <w:szCs w:val="24"/>
        </w:rPr>
        <w:t>Highly paid MPH</w:t>
      </w:r>
      <w:r w:rsidR="00D25A0F" w:rsidRPr="0001604F">
        <w:rPr>
          <w:sz w:val="24"/>
          <w:szCs w:val="24"/>
        </w:rPr>
        <w:t>A staff even informed an</w:t>
      </w:r>
      <w:r w:rsidRPr="0001604F">
        <w:rPr>
          <w:sz w:val="24"/>
          <w:szCs w:val="24"/>
        </w:rPr>
        <w:t xml:space="preserve"> inquiring member of the public that Board consideration of the Draft Plan </w:t>
      </w:r>
      <w:proofErr w:type="gramStart"/>
      <w:r w:rsidRPr="0001604F">
        <w:rPr>
          <w:sz w:val="24"/>
          <w:szCs w:val="24"/>
        </w:rPr>
        <w:t xml:space="preserve">could not </w:t>
      </w:r>
      <w:r w:rsidR="00B035FA" w:rsidRPr="0001604F">
        <w:rPr>
          <w:sz w:val="24"/>
          <w:szCs w:val="24"/>
        </w:rPr>
        <w:t xml:space="preserve">possibly </w:t>
      </w:r>
      <w:r w:rsidRPr="0001604F">
        <w:rPr>
          <w:sz w:val="24"/>
          <w:szCs w:val="24"/>
        </w:rPr>
        <w:t>be postponed</w:t>
      </w:r>
      <w:proofErr w:type="gramEnd"/>
      <w:r w:rsidRPr="0001604F">
        <w:rPr>
          <w:sz w:val="24"/>
          <w:szCs w:val="24"/>
        </w:rPr>
        <w:t xml:space="preserve"> </w:t>
      </w:r>
      <w:r w:rsidR="00D25A0F" w:rsidRPr="0001604F">
        <w:rPr>
          <w:sz w:val="24"/>
          <w:szCs w:val="24"/>
        </w:rPr>
        <w:t xml:space="preserve">beyond the Board’s August 27 meeting </w:t>
      </w:r>
      <w:r w:rsidRPr="0001604F">
        <w:rPr>
          <w:sz w:val="24"/>
          <w:szCs w:val="24"/>
        </w:rPr>
        <w:t>over translation and ambiguity concerns because HUD had a deadline for receiving the Board’s decision</w:t>
      </w:r>
      <w:r w:rsidR="00B035FA" w:rsidRPr="0001604F">
        <w:rPr>
          <w:sz w:val="24"/>
          <w:szCs w:val="24"/>
        </w:rPr>
        <w:t xml:space="preserve"> and the matter could not wait</w:t>
      </w:r>
      <w:r w:rsidRPr="0001604F">
        <w:rPr>
          <w:sz w:val="24"/>
          <w:szCs w:val="24"/>
        </w:rPr>
        <w:t xml:space="preserve">.  Even when, due to numerous translation and ambiguity concerns </w:t>
      </w:r>
      <w:r w:rsidR="00350AA9">
        <w:rPr>
          <w:sz w:val="24"/>
          <w:szCs w:val="24"/>
        </w:rPr>
        <w:t>raised by residents</w:t>
      </w:r>
      <w:r w:rsidR="00F020BB">
        <w:rPr>
          <w:sz w:val="24"/>
          <w:szCs w:val="24"/>
        </w:rPr>
        <w:t>,</w:t>
      </w:r>
      <w:r w:rsidRPr="0001604F">
        <w:rPr>
          <w:sz w:val="24"/>
          <w:szCs w:val="24"/>
        </w:rPr>
        <w:t xml:space="preserve"> translation of a summary was</w:t>
      </w:r>
      <w:r w:rsidR="00B035FA" w:rsidRPr="0001604F">
        <w:rPr>
          <w:sz w:val="24"/>
          <w:szCs w:val="24"/>
        </w:rPr>
        <w:t xml:space="preserve"> subsequently</w:t>
      </w:r>
      <w:r w:rsidRPr="0001604F">
        <w:rPr>
          <w:sz w:val="24"/>
          <w:szCs w:val="24"/>
        </w:rPr>
        <w:t xml:space="preserve"> </w:t>
      </w:r>
      <w:proofErr w:type="gramStart"/>
      <w:r w:rsidRPr="0001604F">
        <w:rPr>
          <w:sz w:val="24"/>
          <w:szCs w:val="24"/>
        </w:rPr>
        <w:t xml:space="preserve">promised </w:t>
      </w:r>
      <w:r w:rsidR="00E454FB" w:rsidRPr="0001604F">
        <w:rPr>
          <w:sz w:val="24"/>
          <w:szCs w:val="24"/>
        </w:rPr>
        <w:t xml:space="preserve"> (</w:t>
      </w:r>
      <w:proofErr w:type="gramEnd"/>
      <w:r w:rsidR="00E454FB" w:rsidRPr="0001604F">
        <w:rPr>
          <w:sz w:val="24"/>
          <w:szCs w:val="24"/>
        </w:rPr>
        <w:t xml:space="preserve">August 17) </w:t>
      </w:r>
      <w:r w:rsidRPr="0001604F">
        <w:rPr>
          <w:sz w:val="24"/>
          <w:szCs w:val="24"/>
        </w:rPr>
        <w:t xml:space="preserve">and time to comment was </w:t>
      </w:r>
      <w:r w:rsidR="00B035FA" w:rsidRPr="0001604F">
        <w:rPr>
          <w:sz w:val="24"/>
          <w:szCs w:val="24"/>
        </w:rPr>
        <w:t>extended</w:t>
      </w:r>
      <w:r w:rsidR="00A55D4A">
        <w:rPr>
          <w:sz w:val="24"/>
          <w:szCs w:val="24"/>
        </w:rPr>
        <w:t xml:space="preserve"> to September 30</w:t>
      </w:r>
      <w:r w:rsidR="004F6BE8">
        <w:rPr>
          <w:sz w:val="24"/>
          <w:szCs w:val="24"/>
        </w:rPr>
        <w:t xml:space="preserve">.  </w:t>
      </w:r>
      <w:r w:rsidR="00B035FA" w:rsidRPr="0001604F">
        <w:rPr>
          <w:sz w:val="24"/>
          <w:szCs w:val="24"/>
        </w:rPr>
        <w:t xml:space="preserve">MPHA staff continued </w:t>
      </w:r>
      <w:r w:rsidR="006717DC" w:rsidRPr="0001604F">
        <w:rPr>
          <w:sz w:val="24"/>
          <w:szCs w:val="24"/>
        </w:rPr>
        <w:t xml:space="preserve">to short-change </w:t>
      </w:r>
      <w:r w:rsidR="00B035FA" w:rsidRPr="0001604F">
        <w:rPr>
          <w:sz w:val="24"/>
          <w:szCs w:val="24"/>
        </w:rPr>
        <w:t>Somali</w:t>
      </w:r>
      <w:r w:rsidR="00F020BB">
        <w:rPr>
          <w:sz w:val="24"/>
          <w:szCs w:val="24"/>
        </w:rPr>
        <w:t>, and other</w:t>
      </w:r>
      <w:r w:rsidR="004F6BE8">
        <w:rPr>
          <w:sz w:val="24"/>
          <w:szCs w:val="24"/>
        </w:rPr>
        <w:t xml:space="preserve"> immigrant</w:t>
      </w:r>
      <w:r w:rsidR="00F020BB">
        <w:rPr>
          <w:sz w:val="24"/>
          <w:szCs w:val="24"/>
        </w:rPr>
        <w:t xml:space="preserve"> &amp; refugee residents who need </w:t>
      </w:r>
      <w:r w:rsidR="003D2E33">
        <w:rPr>
          <w:sz w:val="24"/>
          <w:szCs w:val="24"/>
        </w:rPr>
        <w:t>translation, and</w:t>
      </w:r>
      <w:r w:rsidR="004F6BE8">
        <w:rPr>
          <w:sz w:val="24"/>
          <w:szCs w:val="24"/>
        </w:rPr>
        <w:t xml:space="preserve"> </w:t>
      </w:r>
      <w:r w:rsidR="003D2E33">
        <w:rPr>
          <w:sz w:val="24"/>
          <w:szCs w:val="24"/>
        </w:rPr>
        <w:t xml:space="preserve">their </w:t>
      </w:r>
      <w:r w:rsidR="003D2E33" w:rsidRPr="0001604F">
        <w:rPr>
          <w:sz w:val="24"/>
          <w:szCs w:val="24"/>
        </w:rPr>
        <w:lastRenderedPageBreak/>
        <w:t>interest</w:t>
      </w:r>
      <w:r w:rsidR="00D05F5F">
        <w:rPr>
          <w:sz w:val="24"/>
          <w:szCs w:val="24"/>
        </w:rPr>
        <w:t xml:space="preserve"> in reviewing the Draft Plan.  </w:t>
      </w:r>
      <w:proofErr w:type="gramStart"/>
      <w:r w:rsidR="00D05F5F">
        <w:rPr>
          <w:sz w:val="24"/>
          <w:szCs w:val="24"/>
        </w:rPr>
        <w:t>MPHA continues to fail these residents; 1)  by not providing</w:t>
      </w:r>
      <w:r w:rsidR="00B035FA" w:rsidRPr="0001604F">
        <w:rPr>
          <w:sz w:val="24"/>
          <w:szCs w:val="24"/>
        </w:rPr>
        <w:t xml:space="preserve"> the translated</w:t>
      </w:r>
      <w:r w:rsidR="00E454FB" w:rsidRPr="0001604F">
        <w:rPr>
          <w:sz w:val="24"/>
          <w:szCs w:val="24"/>
        </w:rPr>
        <w:t xml:space="preserve"> Executive Summary </w:t>
      </w:r>
      <w:r w:rsidR="00E454FB" w:rsidRPr="0001604F">
        <w:rPr>
          <w:b/>
          <w:color w:val="FF0000"/>
          <w:sz w:val="24"/>
          <w:szCs w:val="24"/>
        </w:rPr>
        <w:t>until  early September</w:t>
      </w:r>
      <w:r w:rsidR="00E454FB" w:rsidRPr="0001604F">
        <w:rPr>
          <w:sz w:val="24"/>
          <w:szCs w:val="24"/>
        </w:rPr>
        <w:t xml:space="preserve"> (less than 30 days prior to the public</w:t>
      </w:r>
      <w:r w:rsidR="00D05F5F">
        <w:rPr>
          <w:sz w:val="24"/>
          <w:szCs w:val="24"/>
        </w:rPr>
        <w:t xml:space="preserve"> hearing and comment deadlines); 2)</w:t>
      </w:r>
      <w:r w:rsidR="00D25A0F" w:rsidRPr="0001604F">
        <w:rPr>
          <w:sz w:val="24"/>
          <w:szCs w:val="24"/>
        </w:rPr>
        <w:t xml:space="preserve"> </w:t>
      </w:r>
      <w:r w:rsidR="00D05F5F">
        <w:rPr>
          <w:sz w:val="24"/>
          <w:szCs w:val="24"/>
        </w:rPr>
        <w:t xml:space="preserve">by </w:t>
      </w:r>
      <w:r w:rsidR="00B035FA" w:rsidRPr="0001604F">
        <w:rPr>
          <w:sz w:val="24"/>
          <w:szCs w:val="24"/>
        </w:rPr>
        <w:t>fail</w:t>
      </w:r>
      <w:r w:rsidR="00D25A0F" w:rsidRPr="0001604F">
        <w:rPr>
          <w:sz w:val="24"/>
          <w:szCs w:val="24"/>
        </w:rPr>
        <w:t xml:space="preserve">ing </w:t>
      </w:r>
      <w:r w:rsidR="00B035FA" w:rsidRPr="0001604F">
        <w:rPr>
          <w:sz w:val="24"/>
          <w:szCs w:val="24"/>
        </w:rPr>
        <w:t>to inform residents of how, when, and where to access the Somali translation</w:t>
      </w:r>
      <w:r w:rsidR="00800710">
        <w:rPr>
          <w:sz w:val="24"/>
          <w:szCs w:val="24"/>
        </w:rPr>
        <w:t xml:space="preserve"> </w:t>
      </w:r>
      <w:r w:rsidR="00D05F5F">
        <w:rPr>
          <w:sz w:val="24"/>
          <w:szCs w:val="24"/>
        </w:rPr>
        <w:t>,</w:t>
      </w:r>
      <w:r w:rsidR="00800710">
        <w:rPr>
          <w:sz w:val="24"/>
          <w:szCs w:val="24"/>
        </w:rPr>
        <w:t xml:space="preserve"> and that the public hearing and comment periods had been extended</w:t>
      </w:r>
      <w:r w:rsidR="00E454FB" w:rsidRPr="0001604F">
        <w:rPr>
          <w:sz w:val="24"/>
          <w:szCs w:val="24"/>
        </w:rPr>
        <w:t>;</w:t>
      </w:r>
      <w:r w:rsidR="00D25439" w:rsidRPr="0001604F">
        <w:rPr>
          <w:sz w:val="24"/>
          <w:szCs w:val="24"/>
        </w:rPr>
        <w:t xml:space="preserve"> and </w:t>
      </w:r>
      <w:r w:rsidR="00D25A0F" w:rsidRPr="0001604F">
        <w:rPr>
          <w:sz w:val="24"/>
          <w:szCs w:val="24"/>
        </w:rPr>
        <w:t xml:space="preserve">3) </w:t>
      </w:r>
      <w:r w:rsidR="00D25439" w:rsidRPr="0001604F">
        <w:rPr>
          <w:sz w:val="24"/>
          <w:szCs w:val="24"/>
        </w:rPr>
        <w:t>restrict</w:t>
      </w:r>
      <w:r w:rsidR="00D25A0F" w:rsidRPr="0001604F">
        <w:rPr>
          <w:sz w:val="24"/>
          <w:szCs w:val="24"/>
        </w:rPr>
        <w:t xml:space="preserve">ing </w:t>
      </w:r>
      <w:r w:rsidR="00B035FA" w:rsidRPr="0001604F">
        <w:rPr>
          <w:sz w:val="24"/>
          <w:szCs w:val="24"/>
        </w:rPr>
        <w:t xml:space="preserve">access </w:t>
      </w:r>
      <w:r w:rsidR="00800710">
        <w:rPr>
          <w:sz w:val="24"/>
          <w:szCs w:val="24"/>
        </w:rPr>
        <w:t xml:space="preserve">to the translated Executive Summary </w:t>
      </w:r>
      <w:r w:rsidR="00B035FA" w:rsidRPr="0001604F">
        <w:rPr>
          <w:sz w:val="24"/>
          <w:szCs w:val="24"/>
        </w:rPr>
        <w:t>by maki</w:t>
      </w:r>
      <w:r w:rsidR="00A55D4A">
        <w:rPr>
          <w:sz w:val="24"/>
          <w:szCs w:val="24"/>
        </w:rPr>
        <w:t>ng it available only on-line or</w:t>
      </w:r>
      <w:r w:rsidR="00B035FA" w:rsidRPr="0001604F">
        <w:rPr>
          <w:sz w:val="24"/>
          <w:szCs w:val="24"/>
        </w:rPr>
        <w:t xml:space="preserve"> </w:t>
      </w:r>
      <w:r w:rsidR="00D25439" w:rsidRPr="0001604F">
        <w:rPr>
          <w:sz w:val="24"/>
          <w:szCs w:val="24"/>
        </w:rPr>
        <w:t xml:space="preserve">to read </w:t>
      </w:r>
      <w:r w:rsidR="00A55D4A">
        <w:rPr>
          <w:sz w:val="24"/>
          <w:szCs w:val="24"/>
        </w:rPr>
        <w:t>in</w:t>
      </w:r>
      <w:r w:rsidR="00B035FA" w:rsidRPr="0001604F">
        <w:rPr>
          <w:sz w:val="24"/>
          <w:szCs w:val="24"/>
        </w:rPr>
        <w:t xml:space="preserve"> the office.</w:t>
      </w:r>
      <w:proofErr w:type="gramEnd"/>
      <w:r w:rsidR="00ED4C76" w:rsidRPr="0001604F">
        <w:rPr>
          <w:sz w:val="24"/>
          <w:szCs w:val="24"/>
        </w:rPr>
        <w:t xml:space="preserve">   </w:t>
      </w:r>
      <w:r w:rsidR="00D25A0F" w:rsidRPr="0001604F">
        <w:rPr>
          <w:sz w:val="24"/>
          <w:szCs w:val="24"/>
        </w:rPr>
        <w:t xml:space="preserve"> </w:t>
      </w:r>
    </w:p>
    <w:p w:rsidR="00E454FB" w:rsidRPr="0001604F" w:rsidRDefault="00E454FB" w:rsidP="001B7EEF">
      <w:pPr>
        <w:pStyle w:val="ListParagraph"/>
        <w:spacing w:line="240" w:lineRule="auto"/>
        <w:rPr>
          <w:sz w:val="24"/>
          <w:szCs w:val="24"/>
        </w:rPr>
      </w:pPr>
    </w:p>
    <w:p w:rsidR="00C41563" w:rsidRPr="0001604F" w:rsidRDefault="00775DA0" w:rsidP="001B7EEF">
      <w:pPr>
        <w:pStyle w:val="ListParagraph"/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Recommendation:  </w:t>
      </w:r>
      <w:r w:rsidRPr="00775DA0">
        <w:rPr>
          <w:sz w:val="24"/>
          <w:szCs w:val="24"/>
        </w:rPr>
        <w:t>To remedy this going forward,</w:t>
      </w:r>
      <w:r>
        <w:rPr>
          <w:b/>
          <w:sz w:val="24"/>
          <w:szCs w:val="24"/>
        </w:rPr>
        <w:t xml:space="preserve"> </w:t>
      </w:r>
      <w:r w:rsidRPr="00D03CED">
        <w:rPr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Pr="00775DA0">
        <w:rPr>
          <w:sz w:val="24"/>
          <w:szCs w:val="24"/>
        </w:rPr>
        <w:t>MPHA Board should decide that</w:t>
      </w:r>
      <w:r>
        <w:rPr>
          <w:b/>
          <w:sz w:val="24"/>
          <w:szCs w:val="24"/>
        </w:rPr>
        <w:t xml:space="preserve"> </w:t>
      </w:r>
      <w:r w:rsidR="00D25A0F" w:rsidRPr="0001604F">
        <w:rPr>
          <w:sz w:val="24"/>
          <w:szCs w:val="24"/>
        </w:rPr>
        <w:t>e</w:t>
      </w:r>
      <w:r w:rsidR="00D05F5F">
        <w:rPr>
          <w:sz w:val="24"/>
          <w:szCs w:val="24"/>
        </w:rPr>
        <w:t>ffective immediately,</w:t>
      </w:r>
      <w:r w:rsidR="00ED4C76" w:rsidRPr="0001604F">
        <w:rPr>
          <w:sz w:val="24"/>
          <w:szCs w:val="24"/>
        </w:rPr>
        <w:t xml:space="preserve"> prior to issuance of documents</w:t>
      </w:r>
      <w:r w:rsidR="00D05F5F">
        <w:rPr>
          <w:sz w:val="24"/>
          <w:szCs w:val="24"/>
        </w:rPr>
        <w:t>,</w:t>
      </w:r>
      <w:r w:rsidR="00ED4C76" w:rsidRPr="0001604F">
        <w:rPr>
          <w:sz w:val="24"/>
          <w:szCs w:val="24"/>
        </w:rPr>
        <w:t xml:space="preserve"> and announcements</w:t>
      </w:r>
      <w:r w:rsidR="00A55D4A">
        <w:rPr>
          <w:sz w:val="24"/>
          <w:szCs w:val="24"/>
        </w:rPr>
        <w:t xml:space="preserve"> </w:t>
      </w:r>
      <w:r w:rsidR="00ED4C76" w:rsidRPr="0001604F">
        <w:rPr>
          <w:sz w:val="24"/>
          <w:szCs w:val="24"/>
        </w:rPr>
        <w:t xml:space="preserve">relating </w:t>
      </w:r>
      <w:r w:rsidR="00D05F5F">
        <w:rPr>
          <w:sz w:val="24"/>
          <w:szCs w:val="24"/>
        </w:rPr>
        <w:t xml:space="preserve">to </w:t>
      </w:r>
      <w:proofErr w:type="spellStart"/>
      <w:r w:rsidR="00D05F5F">
        <w:rPr>
          <w:sz w:val="24"/>
          <w:szCs w:val="24"/>
        </w:rPr>
        <w:t>MTW</w:t>
      </w:r>
      <w:proofErr w:type="spellEnd"/>
      <w:r w:rsidR="00D05F5F">
        <w:rPr>
          <w:sz w:val="24"/>
          <w:szCs w:val="24"/>
        </w:rPr>
        <w:t xml:space="preserve"> , </w:t>
      </w:r>
      <w:r w:rsidR="00D25A0F" w:rsidRPr="0001604F">
        <w:rPr>
          <w:sz w:val="24"/>
          <w:szCs w:val="24"/>
        </w:rPr>
        <w:t xml:space="preserve">other activity relating to </w:t>
      </w:r>
      <w:r w:rsidR="00D05F5F" w:rsidRPr="0001604F">
        <w:rPr>
          <w:sz w:val="24"/>
          <w:szCs w:val="24"/>
        </w:rPr>
        <w:t>capital</w:t>
      </w:r>
      <w:r w:rsidR="00D25A0F" w:rsidRPr="0001604F">
        <w:rPr>
          <w:sz w:val="24"/>
          <w:szCs w:val="24"/>
        </w:rPr>
        <w:t xml:space="preserve"> fund</w:t>
      </w:r>
      <w:r w:rsidR="00A55D4A">
        <w:rPr>
          <w:sz w:val="24"/>
          <w:szCs w:val="24"/>
        </w:rPr>
        <w:t>ing</w:t>
      </w:r>
      <w:r w:rsidR="00D05F5F">
        <w:rPr>
          <w:sz w:val="24"/>
          <w:szCs w:val="24"/>
        </w:rPr>
        <w:t>,</w:t>
      </w:r>
      <w:r w:rsidR="00D25A0F" w:rsidRPr="0001604F">
        <w:rPr>
          <w:sz w:val="24"/>
          <w:szCs w:val="24"/>
        </w:rPr>
        <w:t xml:space="preserve"> other redevelopment issues</w:t>
      </w:r>
      <w:r w:rsidR="00ED4C76" w:rsidRPr="0001604F">
        <w:rPr>
          <w:sz w:val="24"/>
          <w:szCs w:val="24"/>
        </w:rPr>
        <w:t xml:space="preserve"> </w:t>
      </w:r>
      <w:r>
        <w:rPr>
          <w:sz w:val="24"/>
          <w:szCs w:val="24"/>
        </w:rPr>
        <w:t>impacting the lives of residents</w:t>
      </w:r>
      <w:r w:rsidR="00D05F5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D4C76" w:rsidRPr="0001604F">
        <w:rPr>
          <w:sz w:val="24"/>
          <w:szCs w:val="24"/>
        </w:rPr>
        <w:t xml:space="preserve">and prior to any MPHA-sponsored meetings held  </w:t>
      </w:r>
      <w:r w:rsidR="00D25A0F" w:rsidRPr="0001604F">
        <w:rPr>
          <w:sz w:val="24"/>
          <w:szCs w:val="24"/>
        </w:rPr>
        <w:t>on those</w:t>
      </w:r>
      <w:r w:rsidR="00ED4C76" w:rsidRPr="0001604F">
        <w:rPr>
          <w:sz w:val="24"/>
          <w:szCs w:val="24"/>
        </w:rPr>
        <w:t xml:space="preserve"> subject</w:t>
      </w:r>
      <w:r w:rsidR="00D25A0F" w:rsidRPr="0001604F">
        <w:rPr>
          <w:sz w:val="24"/>
          <w:szCs w:val="24"/>
        </w:rPr>
        <w:t>s</w:t>
      </w:r>
      <w:r w:rsidR="00ED4C76" w:rsidRPr="0001604F">
        <w:rPr>
          <w:sz w:val="24"/>
          <w:szCs w:val="24"/>
        </w:rPr>
        <w:t>,</w:t>
      </w:r>
      <w:r w:rsidR="00D05F5F">
        <w:rPr>
          <w:sz w:val="24"/>
          <w:szCs w:val="24"/>
        </w:rPr>
        <w:t xml:space="preserve"> </w:t>
      </w:r>
      <w:r w:rsidR="00ED4C76" w:rsidRPr="0001604F">
        <w:rPr>
          <w:sz w:val="24"/>
          <w:szCs w:val="24"/>
        </w:rPr>
        <w:t xml:space="preserve"> </w:t>
      </w:r>
      <w:r w:rsidR="00D03CED">
        <w:rPr>
          <w:sz w:val="24"/>
          <w:szCs w:val="24"/>
        </w:rPr>
        <w:t>an affirmative action officer</w:t>
      </w:r>
      <w:r w:rsidR="00ED4C76" w:rsidRPr="0001604F">
        <w:rPr>
          <w:sz w:val="24"/>
          <w:szCs w:val="24"/>
        </w:rPr>
        <w:t xml:space="preserve"> shall evaluate </w:t>
      </w:r>
      <w:r w:rsidR="00A6373D" w:rsidRPr="0001604F">
        <w:rPr>
          <w:sz w:val="24"/>
          <w:szCs w:val="24"/>
        </w:rPr>
        <w:t xml:space="preserve">the appropriateness of translation and interpretive </w:t>
      </w:r>
      <w:r w:rsidR="00ED4C76" w:rsidRPr="0001604F">
        <w:rPr>
          <w:sz w:val="24"/>
          <w:szCs w:val="24"/>
        </w:rPr>
        <w:t>in light of the four</w:t>
      </w:r>
      <w:r w:rsidR="00E454FB" w:rsidRPr="0001604F">
        <w:rPr>
          <w:sz w:val="24"/>
          <w:szCs w:val="24"/>
        </w:rPr>
        <w:t xml:space="preserve"> factor </w:t>
      </w:r>
      <w:r w:rsidR="00ED4C76" w:rsidRPr="0001604F">
        <w:rPr>
          <w:sz w:val="24"/>
          <w:szCs w:val="24"/>
        </w:rPr>
        <w:t xml:space="preserve">test </w:t>
      </w:r>
      <w:r w:rsidR="00E454FB" w:rsidRPr="0001604F">
        <w:rPr>
          <w:sz w:val="24"/>
          <w:szCs w:val="24"/>
        </w:rPr>
        <w:t xml:space="preserve">required by federal </w:t>
      </w:r>
      <w:r w:rsidR="00D25439" w:rsidRPr="0001604F">
        <w:rPr>
          <w:sz w:val="24"/>
          <w:szCs w:val="24"/>
        </w:rPr>
        <w:t xml:space="preserve"> </w:t>
      </w:r>
      <w:r w:rsidR="00E454FB" w:rsidRPr="0001604F">
        <w:rPr>
          <w:sz w:val="24"/>
          <w:szCs w:val="24"/>
        </w:rPr>
        <w:t>(Limited English Proficiency) guidelines</w:t>
      </w:r>
      <w:r w:rsidR="00D05F5F">
        <w:rPr>
          <w:sz w:val="24"/>
          <w:szCs w:val="24"/>
        </w:rPr>
        <w:t>,</w:t>
      </w:r>
      <w:r w:rsidR="00E454FB" w:rsidRPr="0001604F">
        <w:rPr>
          <w:sz w:val="24"/>
          <w:szCs w:val="24"/>
        </w:rPr>
        <w:t xml:space="preserve"> </w:t>
      </w:r>
      <w:r w:rsidR="00A6373D" w:rsidRPr="0001604F">
        <w:rPr>
          <w:sz w:val="24"/>
          <w:szCs w:val="24"/>
        </w:rPr>
        <w:t>and</w:t>
      </w:r>
      <w:r w:rsidR="00D25439" w:rsidRPr="0001604F">
        <w:rPr>
          <w:sz w:val="24"/>
          <w:szCs w:val="24"/>
        </w:rPr>
        <w:t xml:space="preserve"> </w:t>
      </w:r>
      <w:r w:rsidR="00A6373D" w:rsidRPr="0001604F">
        <w:rPr>
          <w:sz w:val="24"/>
          <w:szCs w:val="24"/>
        </w:rPr>
        <w:t xml:space="preserve">include that </w:t>
      </w:r>
      <w:r w:rsidR="00E454FB" w:rsidRPr="0001604F">
        <w:rPr>
          <w:sz w:val="24"/>
          <w:szCs w:val="24"/>
        </w:rPr>
        <w:t xml:space="preserve">written </w:t>
      </w:r>
      <w:r w:rsidR="00A6373D" w:rsidRPr="0001604F">
        <w:rPr>
          <w:sz w:val="24"/>
          <w:szCs w:val="24"/>
        </w:rPr>
        <w:t>evaluation as an attachment to any document/announcement issu</w:t>
      </w:r>
      <w:r w:rsidR="00E454FB" w:rsidRPr="0001604F">
        <w:rPr>
          <w:sz w:val="24"/>
          <w:szCs w:val="24"/>
        </w:rPr>
        <w:t>ed by t</w:t>
      </w:r>
      <w:r w:rsidR="00D05F5F">
        <w:rPr>
          <w:sz w:val="24"/>
          <w:szCs w:val="24"/>
        </w:rPr>
        <w:t xml:space="preserve">he MPHA on the above-identified </w:t>
      </w:r>
      <w:r w:rsidR="00E454FB" w:rsidRPr="0001604F">
        <w:rPr>
          <w:sz w:val="24"/>
          <w:szCs w:val="24"/>
        </w:rPr>
        <w:t>subjects.</w:t>
      </w:r>
      <w:proofErr w:type="gramEnd"/>
    </w:p>
    <w:p w:rsidR="00B035FA" w:rsidRPr="0001604F" w:rsidRDefault="00B035FA" w:rsidP="001B7EEF">
      <w:pPr>
        <w:pStyle w:val="ListParagraph"/>
        <w:spacing w:line="240" w:lineRule="auto"/>
        <w:rPr>
          <w:sz w:val="24"/>
          <w:szCs w:val="24"/>
        </w:rPr>
      </w:pPr>
    </w:p>
    <w:p w:rsidR="00D03CED" w:rsidRDefault="00A317C1" w:rsidP="001B7EE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proofErr w:type="gramStart"/>
      <w:r w:rsidRPr="0001604F">
        <w:rPr>
          <w:sz w:val="24"/>
          <w:szCs w:val="24"/>
        </w:rPr>
        <w:t>Repeated efforts</w:t>
      </w:r>
      <w:r w:rsidR="00770285" w:rsidRPr="0001604F">
        <w:rPr>
          <w:sz w:val="24"/>
          <w:szCs w:val="24"/>
        </w:rPr>
        <w:t xml:space="preserve"> by highly paid MPHA staff  </w:t>
      </w:r>
      <w:r w:rsidRPr="0001604F">
        <w:rPr>
          <w:sz w:val="24"/>
          <w:szCs w:val="24"/>
        </w:rPr>
        <w:t>to paint resident concerns</w:t>
      </w:r>
      <w:r w:rsidR="00D05F5F">
        <w:rPr>
          <w:sz w:val="24"/>
          <w:szCs w:val="24"/>
        </w:rPr>
        <w:t xml:space="preserve"> about privatization of Glendale Townhomes </w:t>
      </w:r>
      <w:r w:rsidRPr="0001604F">
        <w:rPr>
          <w:sz w:val="24"/>
          <w:szCs w:val="24"/>
        </w:rPr>
        <w:t xml:space="preserve"> as </w:t>
      </w:r>
      <w:r w:rsidR="00E454FB" w:rsidRPr="0001604F">
        <w:rPr>
          <w:sz w:val="24"/>
          <w:szCs w:val="24"/>
        </w:rPr>
        <w:t>unwarranted/</w:t>
      </w:r>
      <w:r w:rsidRPr="0001604F">
        <w:rPr>
          <w:sz w:val="24"/>
          <w:szCs w:val="24"/>
        </w:rPr>
        <w:t>premature/ paranoia by making non-credible claims</w:t>
      </w:r>
      <w:r w:rsidR="003D2E33">
        <w:rPr>
          <w:sz w:val="24"/>
          <w:szCs w:val="24"/>
        </w:rPr>
        <w:t xml:space="preserve"> </w:t>
      </w:r>
      <w:r w:rsidRPr="0001604F">
        <w:rPr>
          <w:sz w:val="24"/>
          <w:szCs w:val="24"/>
        </w:rPr>
        <w:t xml:space="preserve"> </w:t>
      </w:r>
      <w:r w:rsidR="006717DC" w:rsidRPr="0001604F">
        <w:rPr>
          <w:sz w:val="24"/>
          <w:szCs w:val="24"/>
        </w:rPr>
        <w:t xml:space="preserve">1) </w:t>
      </w:r>
      <w:r w:rsidRPr="0001604F">
        <w:rPr>
          <w:sz w:val="24"/>
          <w:szCs w:val="24"/>
        </w:rPr>
        <w:t xml:space="preserve">that </w:t>
      </w:r>
      <w:r w:rsidR="00D36363" w:rsidRPr="0001604F">
        <w:rPr>
          <w:sz w:val="24"/>
          <w:szCs w:val="24"/>
        </w:rPr>
        <w:t xml:space="preserve">there is </w:t>
      </w:r>
      <w:r w:rsidRPr="0001604F">
        <w:rPr>
          <w:sz w:val="24"/>
          <w:szCs w:val="24"/>
        </w:rPr>
        <w:t xml:space="preserve">no plan to </w:t>
      </w:r>
      <w:r w:rsidR="00D36363" w:rsidRPr="0001604F">
        <w:rPr>
          <w:sz w:val="24"/>
          <w:szCs w:val="24"/>
        </w:rPr>
        <w:t>privatize</w:t>
      </w:r>
      <w:r w:rsidR="004F6BE8">
        <w:rPr>
          <w:sz w:val="24"/>
          <w:szCs w:val="24"/>
        </w:rPr>
        <w:t xml:space="preserve"> other public housing properties or </w:t>
      </w:r>
      <w:r w:rsidR="003D2E33" w:rsidRPr="0001604F">
        <w:rPr>
          <w:sz w:val="24"/>
          <w:szCs w:val="24"/>
        </w:rPr>
        <w:t>Glendale</w:t>
      </w:r>
      <w:r w:rsidR="003D2E33">
        <w:rPr>
          <w:sz w:val="24"/>
          <w:szCs w:val="24"/>
        </w:rPr>
        <w:t xml:space="preserve"> Townhomes</w:t>
      </w:r>
      <w:r w:rsidR="00D03CED">
        <w:rPr>
          <w:rStyle w:val="FootnoteReference"/>
          <w:sz w:val="24"/>
          <w:szCs w:val="24"/>
        </w:rPr>
        <w:footnoteReference w:id="5"/>
      </w:r>
      <w:r w:rsidR="003D2E33">
        <w:rPr>
          <w:sz w:val="24"/>
          <w:szCs w:val="24"/>
        </w:rPr>
        <w:t xml:space="preserve">; </w:t>
      </w:r>
      <w:r w:rsidR="00BC11C3" w:rsidRPr="0001604F">
        <w:rPr>
          <w:sz w:val="24"/>
          <w:szCs w:val="24"/>
        </w:rPr>
        <w:t xml:space="preserve">and </w:t>
      </w:r>
      <w:r w:rsidR="006717DC" w:rsidRPr="0001604F">
        <w:rPr>
          <w:sz w:val="24"/>
          <w:szCs w:val="24"/>
        </w:rPr>
        <w:t xml:space="preserve">2) </w:t>
      </w:r>
      <w:r w:rsidR="00BC11C3" w:rsidRPr="0001604F">
        <w:rPr>
          <w:sz w:val="24"/>
          <w:szCs w:val="24"/>
        </w:rPr>
        <w:t xml:space="preserve">that if Glendale is privatized residents will </w:t>
      </w:r>
      <w:r w:rsidR="00770285" w:rsidRPr="0001604F">
        <w:rPr>
          <w:sz w:val="24"/>
          <w:szCs w:val="24"/>
        </w:rPr>
        <w:t xml:space="preserve">not be displaced since they will </w:t>
      </w:r>
      <w:r w:rsidR="00BC11C3" w:rsidRPr="0001604F">
        <w:rPr>
          <w:sz w:val="24"/>
          <w:szCs w:val="24"/>
        </w:rPr>
        <w:t>have the option to transfer residence within Glendale</w:t>
      </w:r>
      <w:r w:rsidR="006717DC" w:rsidRPr="0001604F">
        <w:rPr>
          <w:sz w:val="24"/>
          <w:szCs w:val="24"/>
        </w:rPr>
        <w:t xml:space="preserve"> during the rede</w:t>
      </w:r>
      <w:r w:rsidR="003E765C" w:rsidRPr="0001604F">
        <w:rPr>
          <w:sz w:val="24"/>
          <w:szCs w:val="24"/>
        </w:rPr>
        <w:t>velopment period.</w:t>
      </w:r>
      <w:proofErr w:type="gramEnd"/>
      <w:r w:rsidR="0001604F" w:rsidRPr="0001604F">
        <w:rPr>
          <w:sz w:val="24"/>
          <w:szCs w:val="24"/>
        </w:rPr>
        <w:t xml:space="preserve"> </w:t>
      </w:r>
    </w:p>
    <w:p w:rsidR="003E765C" w:rsidRDefault="003E765C" w:rsidP="001B7EEF">
      <w:pPr>
        <w:pStyle w:val="ListParagraph"/>
        <w:spacing w:line="240" w:lineRule="auto"/>
        <w:rPr>
          <w:sz w:val="24"/>
          <w:szCs w:val="24"/>
        </w:rPr>
      </w:pPr>
    </w:p>
    <w:p w:rsidR="00742C09" w:rsidRDefault="00D03CED" w:rsidP="001B7EEF">
      <w:pPr>
        <w:pStyle w:val="ListParagraph"/>
        <w:spacing w:line="240" w:lineRule="auto"/>
        <w:rPr>
          <w:sz w:val="24"/>
          <w:szCs w:val="24"/>
        </w:rPr>
      </w:pPr>
      <w:r w:rsidRPr="00D03CED">
        <w:rPr>
          <w:b/>
          <w:sz w:val="24"/>
          <w:szCs w:val="24"/>
        </w:rPr>
        <w:t>Recommendation:</w:t>
      </w:r>
      <w:r w:rsidR="00100EC0">
        <w:rPr>
          <w:sz w:val="24"/>
          <w:szCs w:val="24"/>
        </w:rPr>
        <w:t xml:space="preserve">  </w:t>
      </w:r>
      <w:r w:rsidR="00791544">
        <w:rPr>
          <w:sz w:val="24"/>
          <w:szCs w:val="24"/>
        </w:rPr>
        <w:t>First:  stop treating Glenda</w:t>
      </w:r>
      <w:r w:rsidR="00100EC0">
        <w:rPr>
          <w:sz w:val="24"/>
          <w:szCs w:val="24"/>
        </w:rPr>
        <w:t>le</w:t>
      </w:r>
      <w:r w:rsidR="00D05F5F">
        <w:rPr>
          <w:sz w:val="24"/>
          <w:szCs w:val="24"/>
        </w:rPr>
        <w:t xml:space="preserve"> Townhomes</w:t>
      </w:r>
      <w:r w:rsidR="00100EC0">
        <w:rPr>
          <w:sz w:val="24"/>
          <w:szCs w:val="24"/>
        </w:rPr>
        <w:t xml:space="preserve"> is if there is a </w:t>
      </w:r>
      <w:r w:rsidR="00791544" w:rsidRPr="00791544">
        <w:rPr>
          <w:b/>
          <w:sz w:val="24"/>
          <w:szCs w:val="24"/>
        </w:rPr>
        <w:t xml:space="preserve">de facto </w:t>
      </w:r>
      <w:r w:rsidR="00100EC0">
        <w:rPr>
          <w:sz w:val="24"/>
          <w:szCs w:val="24"/>
        </w:rPr>
        <w:t xml:space="preserve">plan to privatize it and hence in no need of </w:t>
      </w:r>
      <w:r w:rsidR="00791544">
        <w:rPr>
          <w:sz w:val="24"/>
          <w:szCs w:val="24"/>
        </w:rPr>
        <w:t xml:space="preserve">a fair share of </w:t>
      </w:r>
      <w:r w:rsidR="00660665">
        <w:rPr>
          <w:sz w:val="24"/>
          <w:szCs w:val="24"/>
        </w:rPr>
        <w:t>capital</w:t>
      </w:r>
      <w:r w:rsidR="00100EC0">
        <w:rPr>
          <w:sz w:val="24"/>
          <w:szCs w:val="24"/>
        </w:rPr>
        <w:t xml:space="preserve"> improvement funding</w:t>
      </w:r>
      <w:r w:rsidR="00787152">
        <w:rPr>
          <w:sz w:val="24"/>
          <w:szCs w:val="24"/>
        </w:rPr>
        <w:t xml:space="preserve"> when it is sure to be “redeveloped” (aka demolished).</w:t>
      </w:r>
      <w:r w:rsidR="00791544">
        <w:rPr>
          <w:sz w:val="24"/>
          <w:szCs w:val="24"/>
        </w:rPr>
        <w:t xml:space="preserve">  Second: formally repudiate the Sherman Four-Options Report </w:t>
      </w:r>
      <w:r w:rsidR="00622453">
        <w:rPr>
          <w:sz w:val="24"/>
          <w:szCs w:val="24"/>
        </w:rPr>
        <w:t xml:space="preserve">(online at </w:t>
      </w:r>
      <w:hyperlink r:id="rId9" w:history="1">
        <w:r w:rsidR="001B7EEF">
          <w:rPr>
            <w:rStyle w:val="Hyperlink"/>
          </w:rPr>
          <w:t>http://www.mphaonline.org/wp-content/uploads/2016/01/MPHA_Sherman-Presentation_01.27.16FINAL.pdf</w:t>
        </w:r>
      </w:hyperlink>
      <w:proofErr w:type="gramStart"/>
      <w:r w:rsidR="00622453">
        <w:rPr>
          <w:sz w:val="24"/>
          <w:szCs w:val="24"/>
        </w:rPr>
        <w:t xml:space="preserve">) </w:t>
      </w:r>
      <w:r w:rsidR="00787152">
        <w:rPr>
          <w:sz w:val="24"/>
          <w:szCs w:val="24"/>
        </w:rPr>
        <w:t xml:space="preserve"> </w:t>
      </w:r>
      <w:r w:rsidR="00791544">
        <w:rPr>
          <w:sz w:val="24"/>
          <w:szCs w:val="24"/>
        </w:rPr>
        <w:t>that</w:t>
      </w:r>
      <w:proofErr w:type="gramEnd"/>
      <w:r w:rsidR="00791544">
        <w:rPr>
          <w:sz w:val="24"/>
          <w:szCs w:val="24"/>
        </w:rPr>
        <w:t xml:space="preserve"> clearly  </w:t>
      </w:r>
      <w:r w:rsidR="00622453">
        <w:rPr>
          <w:sz w:val="24"/>
          <w:szCs w:val="24"/>
        </w:rPr>
        <w:t xml:space="preserve">pictures and </w:t>
      </w:r>
      <w:r w:rsidR="00791544">
        <w:rPr>
          <w:sz w:val="24"/>
          <w:szCs w:val="24"/>
        </w:rPr>
        <w:t>favors privatized options for Glendale</w:t>
      </w:r>
      <w:r w:rsidR="003D2E33">
        <w:rPr>
          <w:sz w:val="24"/>
          <w:szCs w:val="24"/>
        </w:rPr>
        <w:t xml:space="preserve"> Townhomes</w:t>
      </w:r>
      <w:r w:rsidR="00791544">
        <w:rPr>
          <w:sz w:val="24"/>
          <w:szCs w:val="24"/>
        </w:rPr>
        <w:t xml:space="preserve">.  Third: acknowledge that </w:t>
      </w:r>
      <w:r w:rsidR="00622453">
        <w:rPr>
          <w:sz w:val="24"/>
          <w:szCs w:val="24"/>
        </w:rPr>
        <w:t>any assertion that Glendale</w:t>
      </w:r>
      <w:r w:rsidR="004A189C">
        <w:rPr>
          <w:sz w:val="24"/>
          <w:szCs w:val="24"/>
        </w:rPr>
        <w:t xml:space="preserve"> Towne home</w:t>
      </w:r>
      <w:r w:rsidR="00622453">
        <w:rPr>
          <w:sz w:val="24"/>
          <w:szCs w:val="24"/>
        </w:rPr>
        <w:t xml:space="preserve"> residents</w:t>
      </w:r>
      <w:r w:rsidR="004A189C">
        <w:rPr>
          <w:sz w:val="24"/>
          <w:szCs w:val="24"/>
        </w:rPr>
        <w:t xml:space="preserve"> or other public housing </w:t>
      </w:r>
      <w:proofErr w:type="gramStart"/>
      <w:r w:rsidR="004A189C">
        <w:rPr>
          <w:sz w:val="24"/>
          <w:szCs w:val="24"/>
        </w:rPr>
        <w:t xml:space="preserve">residents </w:t>
      </w:r>
      <w:r w:rsidR="00622453">
        <w:rPr>
          <w:sz w:val="24"/>
          <w:szCs w:val="24"/>
        </w:rPr>
        <w:t xml:space="preserve"> would</w:t>
      </w:r>
      <w:proofErr w:type="gramEnd"/>
      <w:r w:rsidR="00622453">
        <w:rPr>
          <w:sz w:val="24"/>
          <w:szCs w:val="24"/>
        </w:rPr>
        <w:t xml:space="preserve"> always have the option to avoid displacement by transferring to another unit in Glendale</w:t>
      </w:r>
      <w:r w:rsidR="003D2E33">
        <w:rPr>
          <w:sz w:val="24"/>
          <w:szCs w:val="24"/>
        </w:rPr>
        <w:t xml:space="preserve"> Townhomes</w:t>
      </w:r>
      <w:r w:rsidR="004A189C">
        <w:rPr>
          <w:sz w:val="24"/>
          <w:szCs w:val="24"/>
        </w:rPr>
        <w:t xml:space="preserve"> or other unites </w:t>
      </w:r>
      <w:r w:rsidR="00791544">
        <w:rPr>
          <w:sz w:val="24"/>
          <w:szCs w:val="24"/>
        </w:rPr>
        <w:t xml:space="preserve"> is without authority and vacuous, absent a legally binding pledge </w:t>
      </w:r>
      <w:r w:rsidR="00622453">
        <w:rPr>
          <w:sz w:val="24"/>
          <w:szCs w:val="24"/>
        </w:rPr>
        <w:t xml:space="preserve"> by the MPHA Board </w:t>
      </w:r>
      <w:r w:rsidR="00660665">
        <w:rPr>
          <w:sz w:val="24"/>
          <w:szCs w:val="24"/>
        </w:rPr>
        <w:t>that Glendale</w:t>
      </w:r>
      <w:r w:rsidR="00791544">
        <w:rPr>
          <w:sz w:val="24"/>
          <w:szCs w:val="24"/>
        </w:rPr>
        <w:t xml:space="preserve"> residents hav</w:t>
      </w:r>
      <w:r w:rsidR="00622453">
        <w:rPr>
          <w:sz w:val="24"/>
          <w:szCs w:val="24"/>
        </w:rPr>
        <w:t>e</w:t>
      </w:r>
      <w:r w:rsidR="00791544">
        <w:rPr>
          <w:sz w:val="24"/>
          <w:szCs w:val="24"/>
        </w:rPr>
        <w:t xml:space="preserve"> such an enforceable right.</w:t>
      </w:r>
      <w:r w:rsidR="00622453">
        <w:rPr>
          <w:sz w:val="24"/>
          <w:szCs w:val="24"/>
        </w:rPr>
        <w:t xml:space="preserve">  And furthermore, </w:t>
      </w:r>
      <w:r w:rsidR="00742C09">
        <w:rPr>
          <w:sz w:val="24"/>
          <w:szCs w:val="24"/>
        </w:rPr>
        <w:t xml:space="preserve">the Board should clarify </w:t>
      </w:r>
      <w:r w:rsidR="00622453">
        <w:rPr>
          <w:sz w:val="24"/>
          <w:szCs w:val="24"/>
        </w:rPr>
        <w:t xml:space="preserve">that such an assertion is </w:t>
      </w:r>
      <w:r w:rsidR="00742C09">
        <w:rPr>
          <w:sz w:val="24"/>
          <w:szCs w:val="24"/>
        </w:rPr>
        <w:t xml:space="preserve">not consistent with </w:t>
      </w:r>
      <w:r w:rsidR="00622453">
        <w:rPr>
          <w:sz w:val="24"/>
          <w:szCs w:val="24"/>
        </w:rPr>
        <w:t xml:space="preserve">the </w:t>
      </w:r>
      <w:r w:rsidR="00742C09">
        <w:rPr>
          <w:sz w:val="24"/>
          <w:szCs w:val="24"/>
        </w:rPr>
        <w:t xml:space="preserve">Draft </w:t>
      </w:r>
      <w:proofErr w:type="spellStart"/>
      <w:proofErr w:type="gramStart"/>
      <w:r w:rsidR="00742C09">
        <w:rPr>
          <w:sz w:val="24"/>
          <w:szCs w:val="24"/>
        </w:rPr>
        <w:t>MTW</w:t>
      </w:r>
      <w:proofErr w:type="spellEnd"/>
      <w:r w:rsidR="00742C09">
        <w:rPr>
          <w:sz w:val="24"/>
          <w:szCs w:val="24"/>
        </w:rPr>
        <w:t xml:space="preserve">  Annual</w:t>
      </w:r>
      <w:proofErr w:type="gramEnd"/>
      <w:r w:rsidR="00742C09">
        <w:rPr>
          <w:sz w:val="24"/>
          <w:szCs w:val="24"/>
        </w:rPr>
        <w:t xml:space="preserve"> Plan 2018</w:t>
      </w:r>
      <w:r w:rsidR="00660665">
        <w:rPr>
          <w:sz w:val="24"/>
          <w:szCs w:val="24"/>
        </w:rPr>
        <w:t xml:space="preserve"> or Board approved Guiding Principles for Redevelopment and Capital Investment</w:t>
      </w:r>
      <w:r w:rsidR="001C47DF">
        <w:rPr>
          <w:sz w:val="24"/>
          <w:szCs w:val="24"/>
        </w:rPr>
        <w:t xml:space="preserve"> explained in the </w:t>
      </w:r>
      <w:proofErr w:type="spellStart"/>
      <w:r w:rsidR="001C47DF">
        <w:rPr>
          <w:sz w:val="24"/>
          <w:szCs w:val="24"/>
        </w:rPr>
        <w:t>MTW</w:t>
      </w:r>
      <w:proofErr w:type="spellEnd"/>
      <w:r w:rsidR="001C47DF">
        <w:rPr>
          <w:sz w:val="24"/>
          <w:szCs w:val="24"/>
        </w:rPr>
        <w:t xml:space="preserve"> Plan</w:t>
      </w:r>
      <w:r w:rsidR="00660665">
        <w:rPr>
          <w:sz w:val="24"/>
          <w:szCs w:val="24"/>
        </w:rPr>
        <w:t xml:space="preserve"> which state</w:t>
      </w:r>
      <w:r w:rsidR="00742C09">
        <w:rPr>
          <w:sz w:val="24"/>
          <w:szCs w:val="24"/>
        </w:rPr>
        <w:t xml:space="preserve"> this about the displacement prospects of residents facing “redevelopment”:</w:t>
      </w:r>
      <w:r w:rsidR="000537DA">
        <w:rPr>
          <w:sz w:val="24"/>
          <w:szCs w:val="24"/>
        </w:rPr>
        <w:t xml:space="preserve"> aka “ privatization”</w:t>
      </w:r>
    </w:p>
    <w:p w:rsidR="00742C09" w:rsidRDefault="00742C09" w:rsidP="001B7EEF">
      <w:pPr>
        <w:pStyle w:val="ListParagraph"/>
        <w:spacing w:line="240" w:lineRule="auto"/>
        <w:rPr>
          <w:sz w:val="24"/>
          <w:szCs w:val="24"/>
        </w:rPr>
      </w:pPr>
    </w:p>
    <w:p w:rsidR="00742C09" w:rsidRDefault="00660665" w:rsidP="001B7EEF">
      <w:pPr>
        <w:pStyle w:val="ListParagraph"/>
        <w:spacing w:line="240" w:lineRule="auto"/>
        <w:ind w:left="1440" w:right="720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="00742C09">
        <w:rPr>
          <w:sz w:val="24"/>
          <w:szCs w:val="24"/>
        </w:rPr>
        <w:t>MPHA’s</w:t>
      </w:r>
      <w:proofErr w:type="spellEnd"/>
      <w:r w:rsidR="00742C09">
        <w:rPr>
          <w:sz w:val="24"/>
          <w:szCs w:val="24"/>
        </w:rPr>
        <w:t xml:space="preserve"> planning efforts shall include a process (including relocation plans) that minimize displacement and includes first right-of-return for any current MPHA resident.</w:t>
      </w:r>
      <w:r w:rsidR="004A189C">
        <w:rPr>
          <w:sz w:val="24"/>
          <w:szCs w:val="24"/>
        </w:rPr>
        <w:t xml:space="preserve">”  </w:t>
      </w:r>
      <w:proofErr w:type="spellStart"/>
      <w:r>
        <w:rPr>
          <w:sz w:val="24"/>
          <w:szCs w:val="24"/>
        </w:rPr>
        <w:t>MTW</w:t>
      </w:r>
      <w:proofErr w:type="spellEnd"/>
      <w:r>
        <w:rPr>
          <w:sz w:val="24"/>
          <w:szCs w:val="24"/>
        </w:rPr>
        <w:t xml:space="preserve"> Annual Plan 2018</w:t>
      </w:r>
      <w:r w:rsidR="00742C09">
        <w:rPr>
          <w:sz w:val="24"/>
          <w:szCs w:val="24"/>
        </w:rPr>
        <w:t xml:space="preserve"> </w:t>
      </w:r>
    </w:p>
    <w:p w:rsidR="00742C09" w:rsidRDefault="00742C09" w:rsidP="001B7EEF">
      <w:pPr>
        <w:pStyle w:val="ListParagraph"/>
        <w:spacing w:line="240" w:lineRule="auto"/>
        <w:rPr>
          <w:sz w:val="24"/>
          <w:szCs w:val="24"/>
        </w:rPr>
      </w:pPr>
    </w:p>
    <w:p w:rsidR="000537DA" w:rsidRDefault="00742C09" w:rsidP="001B7EEF">
      <w:pPr>
        <w:pStyle w:val="ListParagraph"/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sz w:val="24"/>
          <w:szCs w:val="24"/>
        </w:rPr>
        <w:t>The “right to return”, after all is not the equivalent of a guarantee of having the option of a temporary transfer within Glendale</w:t>
      </w:r>
      <w:r w:rsidR="003D2E33">
        <w:rPr>
          <w:sz w:val="24"/>
          <w:szCs w:val="24"/>
        </w:rPr>
        <w:t xml:space="preserve"> </w:t>
      </w:r>
      <w:proofErr w:type="gramStart"/>
      <w:r w:rsidR="003D2E33">
        <w:rPr>
          <w:sz w:val="24"/>
          <w:szCs w:val="24"/>
        </w:rPr>
        <w:t xml:space="preserve">Townhomes </w:t>
      </w:r>
      <w:r w:rsidR="00660665">
        <w:rPr>
          <w:sz w:val="24"/>
          <w:szCs w:val="24"/>
        </w:rPr>
        <w:t xml:space="preserve"> while</w:t>
      </w:r>
      <w:proofErr w:type="gramEnd"/>
      <w:r w:rsidR="00660665">
        <w:rPr>
          <w:sz w:val="24"/>
          <w:szCs w:val="24"/>
        </w:rPr>
        <w:t xml:space="preserve"> homes are rehabbed, fixed or </w:t>
      </w:r>
      <w:r w:rsidR="000537DA">
        <w:rPr>
          <w:sz w:val="24"/>
          <w:szCs w:val="24"/>
        </w:rPr>
        <w:t>repaired</w:t>
      </w:r>
      <w:r>
        <w:rPr>
          <w:sz w:val="24"/>
          <w:szCs w:val="24"/>
        </w:rPr>
        <w:t>.</w:t>
      </w:r>
      <w:r w:rsidR="008418DA">
        <w:rPr>
          <w:sz w:val="24"/>
          <w:szCs w:val="24"/>
        </w:rPr>
        <w:t xml:space="preserve">  It assumes a displacement followed later by exercise of a right to return</w:t>
      </w:r>
      <w:proofErr w:type="gramStart"/>
      <w:r w:rsidR="008418DA">
        <w:rPr>
          <w:sz w:val="24"/>
          <w:szCs w:val="24"/>
        </w:rPr>
        <w:t xml:space="preserve">.  </w:t>
      </w:r>
      <w:r w:rsidR="00660665">
        <w:rPr>
          <w:sz w:val="24"/>
          <w:szCs w:val="24"/>
        </w:rPr>
        <w:t xml:space="preserve"> </w:t>
      </w:r>
      <w:proofErr w:type="gramEnd"/>
      <w:r w:rsidR="00660665">
        <w:rPr>
          <w:sz w:val="24"/>
          <w:szCs w:val="24"/>
        </w:rPr>
        <w:t>We know from history and research low-income residents never return such as Hollman Consent  Decree</w:t>
      </w:r>
      <w:proofErr w:type="gramStart"/>
      <w:r w:rsidR="00441918">
        <w:rPr>
          <w:sz w:val="24"/>
          <w:szCs w:val="24"/>
        </w:rPr>
        <w:t xml:space="preserve">. </w:t>
      </w:r>
      <w:proofErr w:type="gramEnd"/>
      <w:r w:rsidR="00441918">
        <w:rPr>
          <w:sz w:val="24"/>
          <w:szCs w:val="24"/>
        </w:rPr>
        <w:t>Through, Hollman Consent Decree</w:t>
      </w:r>
      <w:r w:rsidR="000537DA">
        <w:rPr>
          <w:sz w:val="24"/>
          <w:szCs w:val="24"/>
        </w:rPr>
        <w:t>, MPHA</w:t>
      </w:r>
      <w:r w:rsidR="00441918">
        <w:rPr>
          <w:sz w:val="24"/>
          <w:szCs w:val="24"/>
        </w:rPr>
        <w:t xml:space="preserve"> demolished 900 public housing homes  in Sumner-Glenwood, displacing African America, Hmong families, and elderly out of North  Minneapolis</w:t>
      </w:r>
      <w:r w:rsidR="000537DA">
        <w:rPr>
          <w:sz w:val="24"/>
          <w:szCs w:val="24"/>
        </w:rPr>
        <w:t xml:space="preserve"> in the 1990’s</w:t>
      </w:r>
      <w:proofErr w:type="gramStart"/>
      <w:r w:rsidR="000537DA">
        <w:rPr>
          <w:sz w:val="24"/>
          <w:szCs w:val="24"/>
        </w:rPr>
        <w:t xml:space="preserve">. </w:t>
      </w:r>
      <w:proofErr w:type="gramEnd"/>
      <w:r w:rsidR="000537DA">
        <w:rPr>
          <w:rFonts w:ascii="Arial" w:hAnsi="Arial" w:cs="Arial"/>
          <w:color w:val="000000"/>
          <w:shd w:val="clear" w:color="auto" w:fill="FFFFFF"/>
        </w:rPr>
        <w:t xml:space="preserve">The eviction-demolition process </w:t>
      </w:r>
      <w:proofErr w:type="gramStart"/>
      <w:r w:rsidR="000537DA">
        <w:rPr>
          <w:rFonts w:ascii="Arial" w:hAnsi="Arial" w:cs="Arial"/>
          <w:color w:val="000000"/>
          <w:shd w:val="clear" w:color="auto" w:fill="FFFFFF"/>
        </w:rPr>
        <w:t>started  as</w:t>
      </w:r>
      <w:proofErr w:type="gramEnd"/>
      <w:r w:rsidR="000537DA">
        <w:rPr>
          <w:rFonts w:ascii="Arial" w:hAnsi="Arial" w:cs="Arial"/>
          <w:color w:val="000000"/>
          <w:shd w:val="clear" w:color="auto" w:fill="FFFFFF"/>
        </w:rPr>
        <w:t xml:space="preserve"> early as 1994  through 1999, (</w:t>
      </w:r>
      <w:hyperlink r:id="rId10" w:history="1">
        <w:r w:rsidR="000537DA" w:rsidRPr="00641C18">
          <w:rPr>
            <w:rStyle w:val="Hyperlink"/>
            <w:rFonts w:ascii="Arial" w:hAnsi="Arial" w:cs="Arial"/>
            <w:shd w:val="clear" w:color="auto" w:fill="FFFFFF"/>
          </w:rPr>
          <w:t>www.southsidepride.com/pulsetc/article9678.html</w:t>
        </w:r>
      </w:hyperlink>
      <w:r w:rsidR="000537DA">
        <w:rPr>
          <w:rFonts w:ascii="Arial" w:hAnsi="Arial" w:cs="Arial"/>
          <w:color w:val="000000"/>
          <w:shd w:val="clear" w:color="auto" w:fill="FFFFFF"/>
        </w:rPr>
        <w:t xml:space="preserve">) </w:t>
      </w:r>
    </w:p>
    <w:p w:rsidR="000537DA" w:rsidRDefault="000537DA" w:rsidP="001B7EEF">
      <w:pPr>
        <w:pStyle w:val="ListParagraph"/>
        <w:spacing w:line="240" w:lineRule="auto"/>
        <w:rPr>
          <w:sz w:val="24"/>
          <w:szCs w:val="24"/>
        </w:rPr>
      </w:pPr>
    </w:p>
    <w:p w:rsidR="00B85470" w:rsidRDefault="000537DA" w:rsidP="000537DA">
      <w:r>
        <w:t xml:space="preserve">5. </w:t>
      </w:r>
      <w:r w:rsidR="00371900">
        <w:tab/>
      </w:r>
      <w:r>
        <w:t xml:space="preserve"> </w:t>
      </w:r>
      <w:r w:rsidR="00371900">
        <w:t>In the June of 2017</w:t>
      </w:r>
      <w:r w:rsidR="00BC7C83">
        <w:t>, MPHA</w:t>
      </w:r>
      <w:r w:rsidR="00371900">
        <w:t xml:space="preserve"> </w:t>
      </w:r>
      <w:r w:rsidR="00735293">
        <w:t xml:space="preserve">sent </w:t>
      </w:r>
      <w:r w:rsidR="00371900">
        <w:t>a letter</w:t>
      </w:r>
      <w:r w:rsidR="006E6C35">
        <w:t xml:space="preserve"> </w:t>
      </w:r>
      <w:r w:rsidR="006E6C35" w:rsidRPr="006E6C35">
        <w:rPr>
          <w:color w:val="FF0000"/>
        </w:rPr>
        <w:t xml:space="preserve">insert </w:t>
      </w:r>
      <w:r w:rsidR="00BC7C83" w:rsidRPr="006E6C35">
        <w:rPr>
          <w:color w:val="FF0000"/>
        </w:rPr>
        <w:t xml:space="preserve">letter </w:t>
      </w:r>
      <w:r w:rsidR="00491093" w:rsidRPr="006E6C35">
        <w:rPr>
          <w:color w:val="FF0000"/>
        </w:rPr>
        <w:t>to</w:t>
      </w:r>
      <w:r w:rsidR="00491093">
        <w:t xml:space="preserve"> all</w:t>
      </w:r>
      <w:r w:rsidR="00371900">
        <w:t xml:space="preserve"> public housing residents from Glendale Townhomes</w:t>
      </w:r>
      <w:r w:rsidR="00252788">
        <w:t xml:space="preserve">, </w:t>
      </w:r>
      <w:r w:rsidR="00BC7C83">
        <w:t>h</w:t>
      </w:r>
      <w:r w:rsidR="00371900">
        <w:t>igh-rises</w:t>
      </w:r>
      <w:r w:rsidR="007E2946">
        <w:t>, family</w:t>
      </w:r>
      <w:r w:rsidR="00491093">
        <w:t xml:space="preserve"> homes</w:t>
      </w:r>
      <w:r w:rsidR="00371900">
        <w:t>,</w:t>
      </w:r>
      <w:r w:rsidR="00252788">
        <w:t xml:space="preserve"> and to</w:t>
      </w:r>
      <w:r w:rsidR="00371900">
        <w:t xml:space="preserve"> other properties</w:t>
      </w:r>
      <w:r w:rsidR="007E2946">
        <w:t>, stating MPHA</w:t>
      </w:r>
      <w:r w:rsidR="00371900">
        <w:t xml:space="preserve"> Board of Commissioners approved in May of 2017, </w:t>
      </w:r>
      <w:r w:rsidR="007E2946">
        <w:t>“</w:t>
      </w:r>
      <w:r w:rsidR="007E2946" w:rsidRPr="00D0302E">
        <w:rPr>
          <w:b/>
        </w:rPr>
        <w:t>Guiding</w:t>
      </w:r>
      <w:r w:rsidR="00371900" w:rsidRPr="00D0302E">
        <w:rPr>
          <w:b/>
        </w:rPr>
        <w:t xml:space="preserve"> Principles for Redevelopment and Capital </w:t>
      </w:r>
      <w:r w:rsidR="00371900" w:rsidRPr="00371900">
        <w:rPr>
          <w:b/>
        </w:rPr>
        <w:t>Investment</w:t>
      </w:r>
      <w:r w:rsidR="00BC7C83">
        <w:t>.  This is</w:t>
      </w:r>
      <w:r w:rsidR="001C47DF">
        <w:t xml:space="preserve"> </w:t>
      </w:r>
      <w:r w:rsidR="00BC7C83">
        <w:t xml:space="preserve">also </w:t>
      </w:r>
      <w:r w:rsidR="00BC7C83" w:rsidRPr="003E04BA">
        <w:t>in</w:t>
      </w:r>
      <w:r w:rsidR="001C47DF" w:rsidRPr="003E04BA">
        <w:t xml:space="preserve"> the</w:t>
      </w:r>
      <w:r w:rsidR="001C47DF" w:rsidRPr="001C47DF">
        <w:rPr>
          <w:sz w:val="24"/>
          <w:szCs w:val="24"/>
        </w:rPr>
        <w:t xml:space="preserve"> </w:t>
      </w:r>
      <w:r w:rsidR="00252788">
        <w:rPr>
          <w:sz w:val="24"/>
          <w:szCs w:val="24"/>
        </w:rPr>
        <w:t xml:space="preserve">Draft </w:t>
      </w:r>
      <w:proofErr w:type="spellStart"/>
      <w:r w:rsidR="00252788">
        <w:rPr>
          <w:sz w:val="24"/>
          <w:szCs w:val="24"/>
        </w:rPr>
        <w:t>MTW</w:t>
      </w:r>
      <w:proofErr w:type="spellEnd"/>
      <w:r w:rsidR="001C47DF" w:rsidRPr="001C47DF">
        <w:rPr>
          <w:sz w:val="24"/>
          <w:szCs w:val="24"/>
        </w:rPr>
        <w:t xml:space="preserve"> Annual Plan 2018</w:t>
      </w:r>
      <w:r w:rsidR="001C47DF">
        <w:rPr>
          <w:sz w:val="24"/>
          <w:szCs w:val="24"/>
        </w:rPr>
        <w:t xml:space="preserve"> </w:t>
      </w:r>
      <w:r w:rsidR="001C47DF" w:rsidRPr="001C47DF">
        <w:t>under 2018 Capital Investment &amp; Objectives, Portfolio Analysis.</w:t>
      </w:r>
      <w:r w:rsidR="001C47DF">
        <w:t xml:space="preserve"> </w:t>
      </w:r>
      <w:r w:rsidR="001C47DF" w:rsidRPr="001C47DF">
        <w:t xml:space="preserve"> </w:t>
      </w:r>
      <w:r w:rsidR="00371900" w:rsidRPr="001C47DF">
        <w:t>The l</w:t>
      </w:r>
      <w:r w:rsidR="00BC7C83">
        <w:t>etter</w:t>
      </w:r>
      <w:r w:rsidR="00371900">
        <w:t xml:space="preserve"> </w:t>
      </w:r>
      <w:r w:rsidR="00735293">
        <w:t>explain</w:t>
      </w:r>
      <w:r w:rsidR="004F019A">
        <w:t>s</w:t>
      </w:r>
      <w:r w:rsidR="00735293">
        <w:t xml:space="preserve"> </w:t>
      </w:r>
      <w:r w:rsidR="00BC7C83">
        <w:t xml:space="preserve">the </w:t>
      </w:r>
      <w:r w:rsidR="003E04BA">
        <w:t>principles and</w:t>
      </w:r>
      <w:r w:rsidR="001C47DF">
        <w:t xml:space="preserve"> </w:t>
      </w:r>
      <w:r w:rsidR="003E04BA">
        <w:t>its implementation</w:t>
      </w:r>
      <w:r w:rsidR="00735293">
        <w:t xml:space="preserve"> process</w:t>
      </w:r>
      <w:r w:rsidR="00371900">
        <w:t xml:space="preserve">.  These principles </w:t>
      </w:r>
      <w:r w:rsidR="00735293">
        <w:t>are</w:t>
      </w:r>
      <w:r w:rsidR="00371900">
        <w:t xml:space="preserve"> designed by Gregory Russ</w:t>
      </w:r>
      <w:r w:rsidR="00735293">
        <w:t>,</w:t>
      </w:r>
      <w:r w:rsidR="00371900">
        <w:t xml:space="preserve">  New Executive Director of MPHA, </w:t>
      </w:r>
      <w:r w:rsidR="00735293">
        <w:t xml:space="preserve">and they </w:t>
      </w:r>
      <w:r w:rsidR="00371900">
        <w:t xml:space="preserve">are  blue print to privatization, </w:t>
      </w:r>
      <w:r w:rsidR="001C47DF">
        <w:t>using L</w:t>
      </w:r>
      <w:r w:rsidR="00371900">
        <w:t>ow –</w:t>
      </w:r>
      <w:r w:rsidR="001C47DF">
        <w:t>I</w:t>
      </w:r>
      <w:r w:rsidR="00371900">
        <w:t xml:space="preserve">ncome </w:t>
      </w:r>
      <w:r w:rsidR="001C47DF">
        <w:t>Housing Tax C</w:t>
      </w:r>
      <w:r w:rsidR="00371900">
        <w:t>redit</w:t>
      </w:r>
      <w:r w:rsidR="001C47DF">
        <w:t xml:space="preserve"> ( </w:t>
      </w:r>
      <w:proofErr w:type="spellStart"/>
      <w:r w:rsidR="001C47DF">
        <w:t>LIHTC</w:t>
      </w:r>
      <w:proofErr w:type="spellEnd"/>
      <w:r w:rsidR="001C47DF">
        <w:t xml:space="preserve">) </w:t>
      </w:r>
      <w:r w:rsidR="00371900">
        <w:t xml:space="preserve"> to sell, lease,  demolish or as they say renovate public housing units</w:t>
      </w:r>
      <w:r w:rsidR="00735293">
        <w:t xml:space="preserve"> ( aka, displacement) </w:t>
      </w:r>
      <w:r w:rsidR="00371900">
        <w:t xml:space="preserve"> in partnership with private developers</w:t>
      </w:r>
      <w:r w:rsidR="00735293">
        <w:t xml:space="preserve"> that will </w:t>
      </w:r>
      <w:r w:rsidR="001C47DF">
        <w:t xml:space="preserve"> take over</w:t>
      </w:r>
      <w:r w:rsidR="00BC7C83">
        <w:t xml:space="preserve"> and lease</w:t>
      </w:r>
      <w:r w:rsidR="00735293">
        <w:t xml:space="preserve"> properties</w:t>
      </w:r>
      <w:r w:rsidR="004F019A">
        <w:t xml:space="preserve"> </w:t>
      </w:r>
      <w:r w:rsidR="00BC7C83">
        <w:t xml:space="preserve"> in the private market.</w:t>
      </w:r>
      <w:r w:rsidR="001C47DF">
        <w:t xml:space="preserve"> </w:t>
      </w:r>
      <w:r w:rsidR="00BC7C83">
        <w:t xml:space="preserve"> MPHA will</w:t>
      </w:r>
      <w:r w:rsidR="003E04BA">
        <w:t xml:space="preserve"> move residents out</w:t>
      </w:r>
      <w:r w:rsidR="00735293">
        <w:t xml:space="preserve"> for </w:t>
      </w:r>
      <w:r w:rsidR="00252788">
        <w:t>renovation (aka</w:t>
      </w:r>
      <w:r w:rsidR="00735293">
        <w:t xml:space="preserve"> displacement</w:t>
      </w:r>
      <w:r w:rsidR="00252788">
        <w:t>).</w:t>
      </w:r>
      <w:r w:rsidR="004F019A">
        <w:t xml:space="preserve"> </w:t>
      </w:r>
      <w:r w:rsidR="001C47DF">
        <w:t xml:space="preserve"> While renovation is under way</w:t>
      </w:r>
      <w:r w:rsidR="007E2946">
        <w:t>, leases</w:t>
      </w:r>
      <w:r w:rsidR="001C47DF">
        <w:t xml:space="preserve"> </w:t>
      </w:r>
      <w:r w:rsidR="00880C36">
        <w:t>expire;</w:t>
      </w:r>
      <w:r w:rsidR="007E2946">
        <w:t xml:space="preserve"> proprieties</w:t>
      </w:r>
      <w:r w:rsidR="001C47DF">
        <w:t xml:space="preserve"> </w:t>
      </w:r>
      <w:proofErr w:type="gramStart"/>
      <w:r w:rsidR="001C47DF">
        <w:t xml:space="preserve">are </w:t>
      </w:r>
      <w:r w:rsidR="007E2946">
        <w:t>transferred</w:t>
      </w:r>
      <w:proofErr w:type="gramEnd"/>
      <w:r w:rsidR="007E2946">
        <w:t xml:space="preserve"> from</w:t>
      </w:r>
      <w:r w:rsidR="001C47DF">
        <w:t xml:space="preserve"> public to private through City </w:t>
      </w:r>
      <w:r w:rsidR="007E2946">
        <w:t>approved permits</w:t>
      </w:r>
      <w:r w:rsidR="001C47DF">
        <w:t>, ordinances</w:t>
      </w:r>
      <w:r w:rsidR="004F019A">
        <w:t>, etc</w:t>
      </w:r>
      <w:r w:rsidR="001C47DF">
        <w:t>.</w:t>
      </w:r>
      <w:r w:rsidR="00B85470">
        <w:t xml:space="preserve">  HUD does not care if City of Minneapolis and residents approve</w:t>
      </w:r>
      <w:r w:rsidR="007E2946">
        <w:t xml:space="preserve"> the plans to privatize because HUD deregulated MPHA, </w:t>
      </w:r>
      <w:r w:rsidR="00252788">
        <w:t>and</w:t>
      </w:r>
      <w:r w:rsidR="00B85470">
        <w:t xml:space="preserve"> HUD provides funds</w:t>
      </w:r>
      <w:r w:rsidR="00252788">
        <w:t>, but</w:t>
      </w:r>
      <w:r w:rsidR="003E04BA">
        <w:t xml:space="preserve"> does n</w:t>
      </w:r>
      <w:r w:rsidR="00252788">
        <w:t xml:space="preserve">ot have </w:t>
      </w:r>
      <w:r w:rsidR="007E2946">
        <w:t>strict management</w:t>
      </w:r>
      <w:r w:rsidR="00B85470">
        <w:t xml:space="preserve"> over MPHA.</w:t>
      </w:r>
      <w:r w:rsidR="00BC7C83">
        <w:t xml:space="preserve">  MPHA will</w:t>
      </w:r>
      <w:r w:rsidR="00252788">
        <w:t xml:space="preserve"> be the silent</w:t>
      </w:r>
      <w:r w:rsidR="007E2946">
        <w:t xml:space="preserve"> partner, and</w:t>
      </w:r>
      <w:r w:rsidR="00252788">
        <w:t xml:space="preserve"> </w:t>
      </w:r>
      <w:r w:rsidR="007E2946">
        <w:t xml:space="preserve">may </w:t>
      </w:r>
      <w:proofErr w:type="gramStart"/>
      <w:r w:rsidR="007E2946">
        <w:t xml:space="preserve">have </w:t>
      </w:r>
      <w:r w:rsidR="00252788">
        <w:t xml:space="preserve"> 1</w:t>
      </w:r>
      <w:proofErr w:type="gramEnd"/>
      <w:r w:rsidR="00252788">
        <w:t xml:space="preserve">%  of the ownership, but </w:t>
      </w:r>
      <w:r w:rsidR="00BC7C83">
        <w:t>they will keep on the maintenance</w:t>
      </w:r>
      <w:r w:rsidR="007E2946">
        <w:t xml:space="preserve">, </w:t>
      </w:r>
      <w:r w:rsidR="00BC7C83">
        <w:t xml:space="preserve"> some other staff</w:t>
      </w:r>
      <w:r w:rsidR="007E2946">
        <w:t>,  and other partnerships with programs and nonprofits</w:t>
      </w:r>
      <w:r w:rsidR="00252788">
        <w:t>.</w:t>
      </w:r>
    </w:p>
    <w:p w:rsidR="004F019A" w:rsidRDefault="00B85470" w:rsidP="000537DA">
      <w:r>
        <w:t>As a</w:t>
      </w:r>
      <w:r w:rsidR="004F019A">
        <w:t xml:space="preserve"> result</w:t>
      </w:r>
      <w:r w:rsidR="007E2946">
        <w:t>, low</w:t>
      </w:r>
      <w:r w:rsidR="00735293">
        <w:t>-income residents</w:t>
      </w:r>
      <w:r>
        <w:t xml:space="preserve"> </w:t>
      </w:r>
      <w:proofErr w:type="gramStart"/>
      <w:r>
        <w:t>are displaced</w:t>
      </w:r>
      <w:proofErr w:type="gramEnd"/>
      <w:r>
        <w:t xml:space="preserve"> because </w:t>
      </w:r>
      <w:r w:rsidR="007E2946">
        <w:t xml:space="preserve">they </w:t>
      </w:r>
      <w:r w:rsidR="001246A5">
        <w:t>cannot</w:t>
      </w:r>
      <w:r w:rsidR="00735293">
        <w:t xml:space="preserve"> come back to newly </w:t>
      </w:r>
      <w:r w:rsidR="007E2946">
        <w:t xml:space="preserve">renovated privately owned/ leased </w:t>
      </w:r>
      <w:r>
        <w:t>buildings</w:t>
      </w:r>
      <w:r w:rsidR="007E2946">
        <w:t>.  S</w:t>
      </w:r>
      <w:r>
        <w:t>imilar to Hollman Decree Consent, MPHA will have no contact with residents after they move out</w:t>
      </w:r>
      <w:r w:rsidR="004F019A">
        <w:t xml:space="preserve">. </w:t>
      </w:r>
      <w:r w:rsidR="00252788">
        <w:t xml:space="preserve"> </w:t>
      </w:r>
      <w:r w:rsidR="001246A5">
        <w:t>In addition</w:t>
      </w:r>
      <w:r w:rsidR="004F019A">
        <w:t xml:space="preserve">, if </w:t>
      </w:r>
      <w:r w:rsidR="00880C36">
        <w:t>residents are</w:t>
      </w:r>
      <w:r w:rsidR="004F019A">
        <w:t xml:space="preserve"> lucky</w:t>
      </w:r>
      <w:r w:rsidR="00252788">
        <w:t xml:space="preserve">, </w:t>
      </w:r>
      <w:r w:rsidR="004F019A">
        <w:t xml:space="preserve">they </w:t>
      </w:r>
      <w:r w:rsidR="001246A5">
        <w:t xml:space="preserve">may receive </w:t>
      </w:r>
      <w:r>
        <w:t xml:space="preserve"> 3 months </w:t>
      </w:r>
      <w:r w:rsidR="00880C36">
        <w:t xml:space="preserve">of paid rent from </w:t>
      </w:r>
      <w:r w:rsidR="001246A5">
        <w:t>MPHA to</w:t>
      </w:r>
      <w:r w:rsidR="00880C36">
        <w:t xml:space="preserve"> move to where ever thy can</w:t>
      </w:r>
      <w:r w:rsidR="001246A5">
        <w:t>,</w:t>
      </w:r>
      <w:r w:rsidR="00880C36">
        <w:t xml:space="preserve"> </w:t>
      </w:r>
      <w:r w:rsidR="001246A5">
        <w:t>and after</w:t>
      </w:r>
      <w:r w:rsidR="004F019A">
        <w:t xml:space="preserve"> that</w:t>
      </w:r>
      <w:r w:rsidR="001246A5">
        <w:t>,</w:t>
      </w:r>
      <w:r w:rsidR="004F019A">
        <w:t xml:space="preserve"> residents are out</w:t>
      </w:r>
      <w:r w:rsidR="001246A5">
        <w:t xml:space="preserve"> of</w:t>
      </w:r>
      <w:r w:rsidR="00252788">
        <w:t xml:space="preserve"> </w:t>
      </w:r>
      <w:proofErr w:type="spellStart"/>
      <w:r w:rsidR="00252788">
        <w:t>MPHA</w:t>
      </w:r>
      <w:r w:rsidR="001246A5">
        <w:t>’s</w:t>
      </w:r>
      <w:proofErr w:type="spellEnd"/>
      <w:r w:rsidR="001246A5">
        <w:t xml:space="preserve"> hands</w:t>
      </w:r>
      <w:r w:rsidR="007E2946">
        <w:t xml:space="preserve">.  </w:t>
      </w:r>
      <w:r w:rsidR="00880C36">
        <w:t xml:space="preserve">Low-income </w:t>
      </w:r>
      <w:r w:rsidR="00D0302E">
        <w:t>residents can’t</w:t>
      </w:r>
      <w:r w:rsidR="00880C36">
        <w:t xml:space="preserve"> come back, qualify</w:t>
      </w:r>
      <w:r w:rsidR="001246A5">
        <w:t>,</w:t>
      </w:r>
      <w:r w:rsidR="00880C36">
        <w:t xml:space="preserve"> </w:t>
      </w:r>
      <w:r w:rsidR="00D0302E">
        <w:t>or afford</w:t>
      </w:r>
      <w:r w:rsidR="00735293">
        <w:t xml:space="preserve"> </w:t>
      </w:r>
      <w:r w:rsidR="00880C36">
        <w:t xml:space="preserve">to </w:t>
      </w:r>
      <w:r w:rsidR="00020691">
        <w:t>rent market</w:t>
      </w:r>
      <w:r w:rsidR="007E2946">
        <w:t xml:space="preserve"> rate</w:t>
      </w:r>
      <w:r w:rsidR="00880C36">
        <w:t xml:space="preserve"> </w:t>
      </w:r>
      <w:proofErr w:type="gramStart"/>
      <w:r w:rsidR="00880C36">
        <w:t>buildings  which</w:t>
      </w:r>
      <w:proofErr w:type="gramEnd"/>
      <w:r w:rsidR="00880C36">
        <w:t xml:space="preserve"> will be based on the 30% or more of the  area median income of the  Minneapolis for rents.  The rents will not be based on the previous public housing </w:t>
      </w:r>
      <w:r w:rsidR="001246A5">
        <w:t>rents,</w:t>
      </w:r>
      <w:r w:rsidR="00880C36">
        <w:t xml:space="preserve"> which was </w:t>
      </w:r>
      <w:r>
        <w:t xml:space="preserve">income based rent </w:t>
      </w:r>
      <w:r w:rsidR="00880C36">
        <w:t xml:space="preserve">where MPHA based rents </w:t>
      </w:r>
      <w:proofErr w:type="gramStart"/>
      <w:r w:rsidR="00880C36">
        <w:t xml:space="preserve">on  </w:t>
      </w:r>
      <w:r w:rsidR="00735293">
        <w:t>30</w:t>
      </w:r>
      <w:proofErr w:type="gramEnd"/>
      <w:r w:rsidR="00735293">
        <w:t xml:space="preserve">% of </w:t>
      </w:r>
      <w:r w:rsidR="00252788">
        <w:t>resident</w:t>
      </w:r>
      <w:r w:rsidR="00880C36">
        <w:t xml:space="preserve">’s </w:t>
      </w:r>
      <w:r w:rsidR="00252788">
        <w:t xml:space="preserve"> </w:t>
      </w:r>
      <w:r w:rsidR="00735293">
        <w:t xml:space="preserve"> monthly income</w:t>
      </w:r>
      <w:r w:rsidR="00880C36">
        <w:t xml:space="preserve">.  </w:t>
      </w:r>
      <w:r w:rsidR="00D0302E">
        <w:t>Anytime, the</w:t>
      </w:r>
      <w:r>
        <w:t xml:space="preserve"> term</w:t>
      </w:r>
      <w:r w:rsidR="001246A5">
        <w:t>s</w:t>
      </w:r>
      <w:r>
        <w:t xml:space="preserve"> area median incom</w:t>
      </w:r>
      <w:r w:rsidR="004F019A">
        <w:t xml:space="preserve">e </w:t>
      </w:r>
      <w:r w:rsidR="00880C36">
        <w:t>and L</w:t>
      </w:r>
      <w:r>
        <w:t>ow</w:t>
      </w:r>
      <w:r w:rsidR="00880C36">
        <w:t>-</w:t>
      </w:r>
      <w:r>
        <w:t xml:space="preserve"> </w:t>
      </w:r>
      <w:r w:rsidR="00880C36">
        <w:t>I</w:t>
      </w:r>
      <w:r>
        <w:t xml:space="preserve">ncome </w:t>
      </w:r>
      <w:r w:rsidR="00880C36">
        <w:t>Housing Tax C</w:t>
      </w:r>
      <w:r>
        <w:t>redit</w:t>
      </w:r>
      <w:r w:rsidR="00880C36">
        <w:t xml:space="preserve"> </w:t>
      </w:r>
      <w:proofErr w:type="gramStart"/>
      <w:r w:rsidR="00880C36">
        <w:t xml:space="preserve">( </w:t>
      </w:r>
      <w:proofErr w:type="spellStart"/>
      <w:r w:rsidR="00880C36">
        <w:t>LIHTC</w:t>
      </w:r>
      <w:proofErr w:type="spellEnd"/>
      <w:proofErr w:type="gramEnd"/>
      <w:r w:rsidR="00880C36">
        <w:t xml:space="preserve">) </w:t>
      </w:r>
      <w:r w:rsidR="004F019A">
        <w:t xml:space="preserve"> are used</w:t>
      </w:r>
      <w:r w:rsidR="00880C36">
        <w:t xml:space="preserve">, </w:t>
      </w:r>
      <w:r w:rsidR="004F019A">
        <w:t xml:space="preserve"> this means private</w:t>
      </w:r>
      <w:r w:rsidR="00880C36">
        <w:t xml:space="preserve"> development</w:t>
      </w:r>
      <w:r w:rsidR="001246A5">
        <w:t>,</w:t>
      </w:r>
      <w:r w:rsidR="00880C36">
        <w:t xml:space="preserve"> and market rate rents will apply</w:t>
      </w:r>
      <w:r w:rsidR="001246A5">
        <w:t>.</w:t>
      </w:r>
      <w:r w:rsidR="00880C36">
        <w:t xml:space="preserve">  </w:t>
      </w:r>
      <w:r>
        <w:t>In thi</w:t>
      </w:r>
      <w:r w:rsidR="00880C36">
        <w:t>s letter</w:t>
      </w:r>
      <w:r>
        <w:t xml:space="preserve">, MPHA uses </w:t>
      </w:r>
      <w:r w:rsidR="00880C36">
        <w:t>code</w:t>
      </w:r>
      <w:r w:rsidR="004F019A">
        <w:t xml:space="preserve"> language </w:t>
      </w:r>
      <w:r w:rsidR="00880C36">
        <w:t xml:space="preserve">for </w:t>
      </w:r>
      <w:r>
        <w:t>privatization</w:t>
      </w:r>
      <w:r w:rsidR="00880C36">
        <w:t xml:space="preserve"> schemes, and </w:t>
      </w:r>
      <w:r>
        <w:t>mislead</w:t>
      </w:r>
      <w:r w:rsidR="001246A5">
        <w:t>s</w:t>
      </w:r>
      <w:r>
        <w:t xml:space="preserve"> residents by omission</w:t>
      </w:r>
      <w:r w:rsidR="00880C36">
        <w:t xml:space="preserve">, </w:t>
      </w:r>
      <w:r w:rsidR="001246A5">
        <w:t>or not</w:t>
      </w:r>
      <w:r w:rsidR="004F019A">
        <w:t xml:space="preserve"> fully explaining what this really means. </w:t>
      </w:r>
    </w:p>
    <w:p w:rsidR="00880C36" w:rsidRDefault="004F019A" w:rsidP="00880C36">
      <w:pPr>
        <w:rPr>
          <w:b/>
        </w:rPr>
      </w:pPr>
      <w:r w:rsidRPr="00C3262B">
        <w:rPr>
          <w:b/>
        </w:rPr>
        <w:lastRenderedPageBreak/>
        <w:t xml:space="preserve">MPHA </w:t>
      </w:r>
      <w:r w:rsidR="001246A5">
        <w:rPr>
          <w:b/>
        </w:rPr>
        <w:t>code</w:t>
      </w:r>
      <w:r w:rsidR="00880C36" w:rsidRPr="00C3262B">
        <w:rPr>
          <w:b/>
        </w:rPr>
        <w:t xml:space="preserve"> </w:t>
      </w:r>
      <w:r w:rsidR="00880C36">
        <w:rPr>
          <w:b/>
        </w:rPr>
        <w:t>privatization</w:t>
      </w:r>
      <w:r w:rsidR="001246A5">
        <w:rPr>
          <w:b/>
        </w:rPr>
        <w:t xml:space="preserve"> </w:t>
      </w:r>
      <w:r w:rsidR="00020691">
        <w:rPr>
          <w:b/>
        </w:rPr>
        <w:t xml:space="preserve">language in the </w:t>
      </w:r>
      <w:proofErr w:type="gramStart"/>
      <w:r w:rsidR="00020691">
        <w:rPr>
          <w:b/>
        </w:rPr>
        <w:t xml:space="preserve">letter </w:t>
      </w:r>
      <w:r w:rsidR="001246A5">
        <w:rPr>
          <w:b/>
        </w:rPr>
        <w:t>:</w:t>
      </w:r>
      <w:proofErr w:type="gramEnd"/>
    </w:p>
    <w:p w:rsidR="00C3262B" w:rsidRPr="00C3262B" w:rsidRDefault="00B85470" w:rsidP="00880C36">
      <w:pPr>
        <w:rPr>
          <w:b/>
          <w:i/>
        </w:rPr>
      </w:pPr>
      <w:proofErr w:type="gramStart"/>
      <w:r w:rsidRPr="00C3262B">
        <w:rPr>
          <w:u w:val="single"/>
        </w:rPr>
        <w:t xml:space="preserve">“ </w:t>
      </w:r>
      <w:r w:rsidRPr="00C3262B">
        <w:rPr>
          <w:b/>
          <w:i/>
          <w:u w:val="single"/>
        </w:rPr>
        <w:t>Marketability</w:t>
      </w:r>
      <w:proofErr w:type="gramEnd"/>
      <w:r w:rsidRPr="00C3262B">
        <w:rPr>
          <w:b/>
          <w:i/>
          <w:u w:val="single"/>
        </w:rPr>
        <w:t xml:space="preserve"> of units, through high quality design, </w:t>
      </w:r>
      <w:r w:rsidR="004F019A" w:rsidRPr="00C3262B">
        <w:rPr>
          <w:b/>
          <w:i/>
          <w:u w:val="single"/>
        </w:rPr>
        <w:t>30% of area median income, redevelopment</w:t>
      </w:r>
      <w:r w:rsidR="004F019A" w:rsidRPr="00C3262B">
        <w:rPr>
          <w:b/>
          <w:i/>
        </w:rPr>
        <w:t xml:space="preserve">” </w:t>
      </w:r>
    </w:p>
    <w:p w:rsidR="004F019A" w:rsidRPr="001246A5" w:rsidRDefault="00C3262B" w:rsidP="000537DA">
      <w:pPr>
        <w:rPr>
          <w:i/>
        </w:rPr>
      </w:pPr>
      <w:r>
        <w:rPr>
          <w:b/>
          <w:i/>
        </w:rPr>
        <w:tab/>
      </w:r>
      <w:r w:rsidR="004F019A" w:rsidRPr="001246A5">
        <w:rPr>
          <w:i/>
        </w:rPr>
        <w:t xml:space="preserve"> </w:t>
      </w:r>
      <w:r w:rsidR="001246A5" w:rsidRPr="001246A5">
        <w:rPr>
          <w:i/>
        </w:rPr>
        <w:t xml:space="preserve">This means privatization. </w:t>
      </w:r>
    </w:p>
    <w:p w:rsidR="00C3262B" w:rsidRPr="00C3262B" w:rsidRDefault="004F019A" w:rsidP="00C3262B">
      <w:pPr>
        <w:pStyle w:val="ListParagraph"/>
        <w:numPr>
          <w:ilvl w:val="0"/>
          <w:numId w:val="2"/>
        </w:numPr>
        <w:rPr>
          <w:b/>
          <w:i/>
        </w:rPr>
      </w:pPr>
      <w:proofErr w:type="gramStart"/>
      <w:r w:rsidRPr="00C3262B">
        <w:rPr>
          <w:b/>
          <w:i/>
        </w:rPr>
        <w:t xml:space="preserve">“ </w:t>
      </w:r>
      <w:r w:rsidRPr="00C3262B">
        <w:rPr>
          <w:b/>
          <w:i/>
          <w:u w:val="single"/>
        </w:rPr>
        <w:t>If</w:t>
      </w:r>
      <w:proofErr w:type="gramEnd"/>
      <w:r w:rsidRPr="00C3262B">
        <w:rPr>
          <w:b/>
          <w:i/>
          <w:u w:val="single"/>
        </w:rPr>
        <w:t xml:space="preserve"> the eventual redevelopment effort result in the loss of units,  MPHA commits to develop replacement uni</w:t>
      </w:r>
      <w:r w:rsidR="00C3262B" w:rsidRPr="00C3262B">
        <w:rPr>
          <w:b/>
          <w:i/>
          <w:u w:val="single"/>
        </w:rPr>
        <w:t xml:space="preserve">ts </w:t>
      </w:r>
      <w:proofErr w:type="spellStart"/>
      <w:r w:rsidR="00C3262B" w:rsidRPr="00C3262B">
        <w:rPr>
          <w:b/>
          <w:i/>
          <w:u w:val="single"/>
        </w:rPr>
        <w:t>else where</w:t>
      </w:r>
      <w:proofErr w:type="spellEnd"/>
      <w:r w:rsidR="00C3262B" w:rsidRPr="00C3262B">
        <w:rPr>
          <w:b/>
          <w:i/>
          <w:u w:val="single"/>
        </w:rPr>
        <w:t xml:space="preserve"> in the city and to the extent feasible MPHA will develop replacements unit before the demolition of existing units.”</w:t>
      </w:r>
      <w:r w:rsidR="00C3262B" w:rsidRPr="00C3262B">
        <w:rPr>
          <w:b/>
          <w:i/>
        </w:rPr>
        <w:t xml:space="preserve">   </w:t>
      </w:r>
    </w:p>
    <w:p w:rsidR="001246A5" w:rsidRDefault="00C3262B" w:rsidP="000537DA">
      <w:pPr>
        <w:rPr>
          <w:i/>
        </w:rPr>
      </w:pPr>
      <w:r>
        <w:tab/>
      </w:r>
      <w:r w:rsidRPr="001246A5">
        <w:rPr>
          <w:i/>
        </w:rPr>
        <w:t xml:space="preserve">MPHA has </w:t>
      </w:r>
      <w:r w:rsidR="001246A5" w:rsidRPr="001246A5">
        <w:rPr>
          <w:i/>
        </w:rPr>
        <w:t>neither plans nor</w:t>
      </w:r>
      <w:r w:rsidRPr="001246A5">
        <w:rPr>
          <w:i/>
        </w:rPr>
        <w:t xml:space="preserve"> land to build </w:t>
      </w:r>
      <w:r w:rsidR="001246A5">
        <w:rPr>
          <w:i/>
        </w:rPr>
        <w:t>replacement</w:t>
      </w:r>
      <w:r w:rsidRPr="001246A5">
        <w:rPr>
          <w:i/>
        </w:rPr>
        <w:t xml:space="preserve"> public housing </w:t>
      </w:r>
      <w:r w:rsidR="001246A5">
        <w:rPr>
          <w:i/>
        </w:rPr>
        <w:t>units elsewhere.</w:t>
      </w:r>
    </w:p>
    <w:p w:rsidR="00C3262B" w:rsidRPr="001246A5" w:rsidRDefault="001246A5" w:rsidP="000537DA">
      <w:pPr>
        <w:rPr>
          <w:i/>
        </w:rPr>
      </w:pPr>
      <w:r w:rsidRPr="001246A5">
        <w:rPr>
          <w:i/>
        </w:rPr>
        <w:tab/>
      </w:r>
      <w:r w:rsidR="00C3262B" w:rsidRPr="001246A5">
        <w:rPr>
          <w:i/>
        </w:rPr>
        <w:t>Why would MPHA do that while they say HUD is cutting their capital funds</w:t>
      </w:r>
      <w:r w:rsidRPr="001246A5">
        <w:rPr>
          <w:i/>
        </w:rPr>
        <w:t>, and</w:t>
      </w:r>
      <w:r w:rsidR="00C3262B" w:rsidRPr="001246A5">
        <w:rPr>
          <w:i/>
        </w:rPr>
        <w:t xml:space="preserve"> they don’t have </w:t>
      </w:r>
      <w:r w:rsidR="00C3262B" w:rsidRPr="001246A5">
        <w:rPr>
          <w:i/>
        </w:rPr>
        <w:tab/>
        <w:t xml:space="preserve">money to build more public housing, and they don’t </w:t>
      </w:r>
      <w:r w:rsidRPr="001246A5">
        <w:rPr>
          <w:i/>
        </w:rPr>
        <w:t>have money</w:t>
      </w:r>
      <w:r w:rsidR="00C3262B" w:rsidRPr="001246A5">
        <w:rPr>
          <w:i/>
        </w:rPr>
        <w:t xml:space="preserve"> </w:t>
      </w:r>
      <w:r w:rsidRPr="001246A5">
        <w:rPr>
          <w:i/>
        </w:rPr>
        <w:t>to take</w:t>
      </w:r>
      <w:r>
        <w:rPr>
          <w:i/>
        </w:rPr>
        <w:t xml:space="preserve"> care of </w:t>
      </w:r>
      <w:proofErr w:type="spellStart"/>
      <w:proofErr w:type="gramStart"/>
      <w:r>
        <w:rPr>
          <w:i/>
        </w:rPr>
        <w:t>th</w:t>
      </w:r>
      <w:proofErr w:type="spellEnd"/>
      <w:r w:rsidR="00C3262B" w:rsidRPr="001246A5">
        <w:rPr>
          <w:i/>
        </w:rPr>
        <w:t xml:space="preserve">  homes</w:t>
      </w:r>
      <w:proofErr w:type="gramEnd"/>
      <w:r w:rsidR="00C3262B" w:rsidRPr="001246A5">
        <w:rPr>
          <w:i/>
        </w:rPr>
        <w:t xml:space="preserve"> </w:t>
      </w:r>
      <w:r w:rsidR="00C3262B" w:rsidRPr="001246A5">
        <w:rPr>
          <w:i/>
        </w:rPr>
        <w:tab/>
        <w:t>they manage now</w:t>
      </w:r>
      <w:r w:rsidRPr="001246A5">
        <w:rPr>
          <w:i/>
        </w:rPr>
        <w:t xml:space="preserve">.  </w:t>
      </w:r>
      <w:r w:rsidR="00C3262B" w:rsidRPr="001246A5">
        <w:rPr>
          <w:i/>
        </w:rPr>
        <w:t>This statement is misleading and contradicting.</w:t>
      </w:r>
    </w:p>
    <w:p w:rsidR="00C3262B" w:rsidRDefault="00C3262B" w:rsidP="00C3262B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“</w:t>
      </w:r>
      <w:proofErr w:type="spellStart"/>
      <w:r w:rsidRPr="00C3262B">
        <w:rPr>
          <w:b/>
          <w:i/>
        </w:rPr>
        <w:t>MPHA’s</w:t>
      </w:r>
      <w:proofErr w:type="spellEnd"/>
      <w:r w:rsidRPr="00C3262B">
        <w:rPr>
          <w:b/>
          <w:i/>
        </w:rPr>
        <w:t xml:space="preserve"> planning efforts shall include development of a comprehensive relocation plans with residents of each affected  properties </w:t>
      </w:r>
      <w:r>
        <w:rPr>
          <w:b/>
          <w:i/>
        </w:rPr>
        <w:t>“</w:t>
      </w:r>
    </w:p>
    <w:p w:rsidR="00C3262B" w:rsidRDefault="00C3262B" w:rsidP="001246A5">
      <w:pPr>
        <w:pStyle w:val="ListParagraph"/>
        <w:ind w:left="770"/>
        <w:rPr>
          <w:i/>
        </w:rPr>
      </w:pPr>
      <w:r w:rsidRPr="00C3262B">
        <w:rPr>
          <w:i/>
        </w:rPr>
        <w:t xml:space="preserve">This </w:t>
      </w:r>
      <w:proofErr w:type="gramStart"/>
      <w:r w:rsidRPr="00C3262B">
        <w:rPr>
          <w:i/>
        </w:rPr>
        <w:t>is forced</w:t>
      </w:r>
      <w:proofErr w:type="gramEnd"/>
      <w:r w:rsidRPr="00C3262B">
        <w:rPr>
          <w:i/>
        </w:rPr>
        <w:t xml:space="preserve"> </w:t>
      </w:r>
      <w:r w:rsidR="006E6C35">
        <w:rPr>
          <w:i/>
        </w:rPr>
        <w:t>relocation</w:t>
      </w:r>
      <w:r w:rsidR="00FC0834">
        <w:rPr>
          <w:i/>
        </w:rPr>
        <w:t>,</w:t>
      </w:r>
      <w:r w:rsidR="00880C36">
        <w:rPr>
          <w:i/>
        </w:rPr>
        <w:t xml:space="preserve"> </w:t>
      </w:r>
      <w:r w:rsidR="00FC0834" w:rsidRPr="00C3262B">
        <w:rPr>
          <w:i/>
        </w:rPr>
        <w:t>displacement</w:t>
      </w:r>
      <w:r w:rsidR="00FC0834">
        <w:rPr>
          <w:i/>
        </w:rPr>
        <w:t>,</w:t>
      </w:r>
      <w:r w:rsidRPr="00C3262B">
        <w:rPr>
          <w:i/>
        </w:rPr>
        <w:t xml:space="preserve"> and </w:t>
      </w:r>
      <w:r w:rsidR="00880C36">
        <w:rPr>
          <w:i/>
        </w:rPr>
        <w:t>gentrification.</w:t>
      </w:r>
    </w:p>
    <w:p w:rsidR="00C3262B" w:rsidRDefault="006E6C35" w:rsidP="001246A5">
      <w:pPr>
        <w:pStyle w:val="ListParagraph"/>
        <w:ind w:left="770"/>
        <w:rPr>
          <w:i/>
        </w:rPr>
      </w:pPr>
      <w:r>
        <w:rPr>
          <w:i/>
        </w:rPr>
        <w:t>MPHA</w:t>
      </w:r>
      <w:r w:rsidR="00FC0834">
        <w:rPr>
          <w:i/>
        </w:rPr>
        <w:t xml:space="preserve"> may </w:t>
      </w:r>
      <w:r w:rsidR="001246A5">
        <w:rPr>
          <w:i/>
        </w:rPr>
        <w:t>pay 3</w:t>
      </w:r>
      <w:r w:rsidR="00C3262B">
        <w:rPr>
          <w:i/>
        </w:rPr>
        <w:t xml:space="preserve"> month</w:t>
      </w:r>
      <w:r w:rsidR="00FC0834">
        <w:rPr>
          <w:i/>
        </w:rPr>
        <w:t>s</w:t>
      </w:r>
      <w:r>
        <w:rPr>
          <w:i/>
        </w:rPr>
        <w:t xml:space="preserve"> of rent</w:t>
      </w:r>
      <w:r w:rsidR="00FC0834">
        <w:rPr>
          <w:i/>
        </w:rPr>
        <w:t xml:space="preserve"> </w:t>
      </w:r>
      <w:r w:rsidR="001246A5">
        <w:rPr>
          <w:i/>
        </w:rPr>
        <w:t>and moving</w:t>
      </w:r>
      <w:r>
        <w:rPr>
          <w:i/>
        </w:rPr>
        <w:t xml:space="preserve"> cos</w:t>
      </w:r>
      <w:r w:rsidR="00880C36">
        <w:rPr>
          <w:i/>
        </w:rPr>
        <w:t>ts</w:t>
      </w:r>
      <w:r>
        <w:rPr>
          <w:i/>
        </w:rPr>
        <w:t>.</w:t>
      </w:r>
      <w:r w:rsidR="001246A5">
        <w:rPr>
          <w:i/>
        </w:rPr>
        <w:t xml:space="preserve">  </w:t>
      </w:r>
      <w:r>
        <w:rPr>
          <w:i/>
        </w:rPr>
        <w:t xml:space="preserve">In the </w:t>
      </w:r>
      <w:r w:rsidR="00880C36">
        <w:rPr>
          <w:i/>
        </w:rPr>
        <w:t>m</w:t>
      </w:r>
      <w:r>
        <w:rPr>
          <w:i/>
        </w:rPr>
        <w:t>eantime, issue of pe</w:t>
      </w:r>
      <w:r w:rsidR="00880C36">
        <w:rPr>
          <w:i/>
        </w:rPr>
        <w:t xml:space="preserve">rmits, legal process for transferring </w:t>
      </w:r>
      <w:r w:rsidR="008D7F46">
        <w:rPr>
          <w:i/>
        </w:rPr>
        <w:t>land,</w:t>
      </w:r>
      <w:r w:rsidR="00FC0834">
        <w:rPr>
          <w:i/>
        </w:rPr>
        <w:t xml:space="preserve"> year </w:t>
      </w:r>
      <w:r w:rsidR="00880C36">
        <w:rPr>
          <w:i/>
        </w:rPr>
        <w:t>by year, building by building takes</w:t>
      </w:r>
      <w:r w:rsidR="00FC0834">
        <w:rPr>
          <w:i/>
        </w:rPr>
        <w:t xml:space="preserve"> </w:t>
      </w:r>
      <w:r w:rsidR="008D7F46">
        <w:rPr>
          <w:i/>
        </w:rPr>
        <w:t>place through</w:t>
      </w:r>
      <w:r>
        <w:rPr>
          <w:i/>
        </w:rPr>
        <w:t xml:space="preserve"> City of </w:t>
      </w:r>
      <w:r w:rsidR="00880C36">
        <w:rPr>
          <w:i/>
        </w:rPr>
        <w:t xml:space="preserve">Minneapolis.  </w:t>
      </w:r>
      <w:r w:rsidR="00FC0834">
        <w:rPr>
          <w:i/>
        </w:rPr>
        <w:t xml:space="preserve">When </w:t>
      </w:r>
      <w:r w:rsidR="00880C36">
        <w:rPr>
          <w:i/>
        </w:rPr>
        <w:t>leases expire</w:t>
      </w:r>
      <w:r w:rsidR="00FC0834">
        <w:rPr>
          <w:i/>
        </w:rPr>
        <w:t xml:space="preserve"> and residents </w:t>
      </w:r>
      <w:proofErr w:type="gramStart"/>
      <w:r w:rsidR="00FC0834">
        <w:rPr>
          <w:i/>
        </w:rPr>
        <w:t>are moved out</w:t>
      </w:r>
      <w:proofErr w:type="gramEnd"/>
      <w:r w:rsidR="00FC0834">
        <w:rPr>
          <w:i/>
        </w:rPr>
        <w:t xml:space="preserve"> through false premise of coming back</w:t>
      </w:r>
      <w:r w:rsidR="00D0302E">
        <w:rPr>
          <w:i/>
        </w:rPr>
        <w:t>, MPHA</w:t>
      </w:r>
      <w:r w:rsidR="001246A5">
        <w:rPr>
          <w:i/>
        </w:rPr>
        <w:t xml:space="preserve"> </w:t>
      </w:r>
      <w:r w:rsidR="00FC0834">
        <w:rPr>
          <w:i/>
        </w:rPr>
        <w:t xml:space="preserve">is </w:t>
      </w:r>
      <w:r w:rsidR="00D0302E">
        <w:rPr>
          <w:i/>
        </w:rPr>
        <w:t>free of</w:t>
      </w:r>
      <w:r w:rsidR="001246A5">
        <w:rPr>
          <w:i/>
        </w:rPr>
        <w:t xml:space="preserve"> any responsibility </w:t>
      </w:r>
      <w:r w:rsidR="00D0302E">
        <w:rPr>
          <w:i/>
        </w:rPr>
        <w:t>after residents</w:t>
      </w:r>
      <w:r w:rsidR="001246A5">
        <w:rPr>
          <w:i/>
        </w:rPr>
        <w:t xml:space="preserve"> move out</w:t>
      </w:r>
      <w:r w:rsidR="007607E0">
        <w:rPr>
          <w:i/>
        </w:rPr>
        <w:t xml:space="preserve">.  </w:t>
      </w:r>
      <w:r w:rsidR="00FC0834">
        <w:rPr>
          <w:i/>
        </w:rPr>
        <w:t xml:space="preserve">Another </w:t>
      </w:r>
      <w:r>
        <w:rPr>
          <w:i/>
        </w:rPr>
        <w:t xml:space="preserve"> MPHA </w:t>
      </w:r>
      <w:r w:rsidR="00FC0834">
        <w:rPr>
          <w:i/>
        </w:rPr>
        <w:t xml:space="preserve">option is to </w:t>
      </w:r>
      <w:r>
        <w:rPr>
          <w:i/>
        </w:rPr>
        <w:t>move</w:t>
      </w:r>
      <w:r w:rsidR="00FC0834">
        <w:rPr>
          <w:i/>
        </w:rPr>
        <w:t xml:space="preserve"> </w:t>
      </w:r>
      <w:r w:rsidR="00C3262B">
        <w:rPr>
          <w:i/>
        </w:rPr>
        <w:t>residents</w:t>
      </w:r>
      <w:r>
        <w:rPr>
          <w:i/>
        </w:rPr>
        <w:t xml:space="preserve"> out of the city</w:t>
      </w:r>
      <w:r w:rsidR="00FC0834">
        <w:rPr>
          <w:i/>
        </w:rPr>
        <w:t>, out of their</w:t>
      </w:r>
      <w:r w:rsidR="001246A5">
        <w:rPr>
          <w:i/>
        </w:rPr>
        <w:t xml:space="preserve"> </w:t>
      </w:r>
      <w:r w:rsidR="00FC0834">
        <w:rPr>
          <w:i/>
        </w:rPr>
        <w:t>community</w:t>
      </w:r>
      <w:r>
        <w:rPr>
          <w:i/>
        </w:rPr>
        <w:t xml:space="preserve"> </w:t>
      </w:r>
      <w:r w:rsidR="00C3262B">
        <w:rPr>
          <w:i/>
        </w:rPr>
        <w:t xml:space="preserve"> to</w:t>
      </w:r>
      <w:r w:rsidR="00D0302E">
        <w:rPr>
          <w:i/>
        </w:rPr>
        <w:t xml:space="preserve"> transfer their leases  </w:t>
      </w:r>
      <w:r w:rsidR="00FC0834">
        <w:rPr>
          <w:i/>
        </w:rPr>
        <w:t xml:space="preserve">to  </w:t>
      </w:r>
      <w:r w:rsidR="00C3262B">
        <w:rPr>
          <w:i/>
        </w:rPr>
        <w:t>profit/ non</w:t>
      </w:r>
      <w:r w:rsidR="001246A5">
        <w:rPr>
          <w:i/>
        </w:rPr>
        <w:t>-</w:t>
      </w:r>
      <w:r w:rsidR="00C3262B">
        <w:rPr>
          <w:i/>
        </w:rPr>
        <w:t xml:space="preserve"> profit </w:t>
      </w:r>
      <w:r w:rsidR="00FC0834">
        <w:rPr>
          <w:i/>
        </w:rPr>
        <w:t xml:space="preserve"> </w:t>
      </w:r>
      <w:r>
        <w:rPr>
          <w:i/>
        </w:rPr>
        <w:t>management</w:t>
      </w:r>
      <w:r w:rsidR="00FC0834">
        <w:rPr>
          <w:i/>
        </w:rPr>
        <w:t xml:space="preserve"> homes</w:t>
      </w:r>
      <w:r w:rsidR="00D0302E">
        <w:rPr>
          <w:i/>
        </w:rPr>
        <w:t xml:space="preserve"> in far way suburbs as they have done to 100’s or more families</w:t>
      </w:r>
      <w:r w:rsidR="001246A5">
        <w:rPr>
          <w:i/>
        </w:rPr>
        <w:t xml:space="preserve">.  </w:t>
      </w:r>
      <w:r w:rsidR="007607E0">
        <w:rPr>
          <w:i/>
        </w:rPr>
        <w:t>However,</w:t>
      </w:r>
      <w:r w:rsidR="00491093">
        <w:rPr>
          <w:i/>
        </w:rPr>
        <w:t xml:space="preserve"> residents</w:t>
      </w:r>
      <w:r>
        <w:rPr>
          <w:i/>
        </w:rPr>
        <w:t xml:space="preserve"> have to qualify</w:t>
      </w:r>
      <w:r w:rsidR="00D0302E">
        <w:rPr>
          <w:i/>
        </w:rPr>
        <w:t>, or</w:t>
      </w:r>
      <w:r>
        <w:rPr>
          <w:i/>
        </w:rPr>
        <w:t xml:space="preserve"> </w:t>
      </w:r>
      <w:r w:rsidR="00FC0834">
        <w:rPr>
          <w:i/>
        </w:rPr>
        <w:t xml:space="preserve">be on </w:t>
      </w:r>
      <w:r w:rsidR="001246A5">
        <w:rPr>
          <w:i/>
        </w:rPr>
        <w:t>a waiting list</w:t>
      </w:r>
      <w:r>
        <w:rPr>
          <w:i/>
        </w:rPr>
        <w:t>.</w:t>
      </w:r>
    </w:p>
    <w:p w:rsidR="000537DA" w:rsidRDefault="000537DA" w:rsidP="001246A5">
      <w:pPr>
        <w:pStyle w:val="ListParagraph"/>
        <w:ind w:left="0"/>
        <w:rPr>
          <w:b/>
          <w:sz w:val="24"/>
          <w:szCs w:val="24"/>
        </w:rPr>
      </w:pPr>
    </w:p>
    <w:p w:rsidR="005D09D3" w:rsidRDefault="00D0302E" w:rsidP="00D0302E">
      <w:pPr>
        <w:pStyle w:val="ListParagraph"/>
        <w:spacing w:line="240" w:lineRule="auto"/>
        <w:ind w:left="1440" w:right="720"/>
        <w:rPr>
          <w:sz w:val="24"/>
          <w:szCs w:val="24"/>
        </w:rPr>
      </w:pPr>
      <w:r w:rsidRPr="00775DA0">
        <w:rPr>
          <w:b/>
          <w:sz w:val="24"/>
          <w:szCs w:val="24"/>
        </w:rPr>
        <w:t>Recommendation:</w:t>
      </w:r>
      <w:r>
        <w:rPr>
          <w:sz w:val="24"/>
          <w:szCs w:val="24"/>
        </w:rPr>
        <w:t xml:space="preserve"> The </w:t>
      </w:r>
      <w:r w:rsidRPr="00D0302E">
        <w:t>Guiding Principles for Redevelopment and Capital Investment</w:t>
      </w:r>
      <w:r w:rsidRPr="00D0302E">
        <w:rPr>
          <w:sz w:val="24"/>
          <w:szCs w:val="24"/>
        </w:rPr>
        <w:t xml:space="preserve"> </w:t>
      </w:r>
      <w:r w:rsidR="00020691">
        <w:rPr>
          <w:sz w:val="24"/>
          <w:szCs w:val="24"/>
        </w:rPr>
        <w:t xml:space="preserve">privatization plan </w:t>
      </w:r>
      <w:proofErr w:type="gramStart"/>
      <w:r w:rsidR="00020691">
        <w:rPr>
          <w:sz w:val="24"/>
          <w:szCs w:val="24"/>
        </w:rPr>
        <w:t>should be</w:t>
      </w:r>
      <w:r>
        <w:rPr>
          <w:sz w:val="24"/>
          <w:szCs w:val="24"/>
        </w:rPr>
        <w:t xml:space="preserve"> deleted, </w:t>
      </w:r>
      <w:r w:rsidR="008D7F46">
        <w:rPr>
          <w:sz w:val="24"/>
          <w:szCs w:val="24"/>
        </w:rPr>
        <w:t>removed,</w:t>
      </w:r>
      <w:r>
        <w:rPr>
          <w:sz w:val="24"/>
          <w:szCs w:val="24"/>
        </w:rPr>
        <w:t xml:space="preserve"> and replaced with a public</w:t>
      </w:r>
      <w:proofErr w:type="gramEnd"/>
      <w:r>
        <w:rPr>
          <w:sz w:val="24"/>
          <w:szCs w:val="24"/>
        </w:rPr>
        <w:t xml:space="preserve"> plans</w:t>
      </w:r>
      <w:r w:rsidR="006E7156">
        <w:rPr>
          <w:sz w:val="24"/>
          <w:szCs w:val="24"/>
        </w:rPr>
        <w:t xml:space="preserve"> that </w:t>
      </w:r>
      <w:r w:rsidR="00020691">
        <w:rPr>
          <w:sz w:val="24"/>
          <w:szCs w:val="24"/>
        </w:rPr>
        <w:t>secure public funding.  Such as</w:t>
      </w:r>
      <w:r w:rsidR="006E7156">
        <w:rPr>
          <w:sz w:val="24"/>
          <w:szCs w:val="24"/>
        </w:rPr>
        <w:t xml:space="preserve"> having access to </w:t>
      </w:r>
      <w:r w:rsidR="005D09D3">
        <w:rPr>
          <w:sz w:val="24"/>
          <w:szCs w:val="24"/>
        </w:rPr>
        <w:t xml:space="preserve">10 million dollars </w:t>
      </w:r>
      <w:r w:rsidR="006E7156">
        <w:rPr>
          <w:sz w:val="24"/>
          <w:szCs w:val="24"/>
        </w:rPr>
        <w:t xml:space="preserve">from the </w:t>
      </w:r>
      <w:r w:rsidR="008D7F46">
        <w:rPr>
          <w:sz w:val="24"/>
          <w:szCs w:val="24"/>
        </w:rPr>
        <w:t>City’s Affordable</w:t>
      </w:r>
      <w:r>
        <w:rPr>
          <w:sz w:val="24"/>
          <w:szCs w:val="24"/>
        </w:rPr>
        <w:t xml:space="preserve"> Housing Fund</w:t>
      </w:r>
      <w:r w:rsidR="006E7156">
        <w:rPr>
          <w:sz w:val="24"/>
          <w:szCs w:val="24"/>
        </w:rPr>
        <w:t xml:space="preserve"> that only private developers can access.  It is time for the City to allow public housing to access these funds</w:t>
      </w:r>
      <w:proofErr w:type="gramStart"/>
      <w:r w:rsidR="006E71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  <w:r w:rsidR="006E7156">
        <w:rPr>
          <w:sz w:val="24"/>
          <w:szCs w:val="24"/>
        </w:rPr>
        <w:t>Other public funding options include</w:t>
      </w:r>
      <w:r w:rsidR="00020691">
        <w:rPr>
          <w:sz w:val="24"/>
          <w:szCs w:val="24"/>
        </w:rPr>
        <w:t xml:space="preserve"> City Levy</w:t>
      </w:r>
      <w:r w:rsidR="008D7F46">
        <w:rPr>
          <w:sz w:val="24"/>
          <w:szCs w:val="24"/>
        </w:rPr>
        <w:t>, MN</w:t>
      </w:r>
      <w:r w:rsidR="006E7156">
        <w:rPr>
          <w:sz w:val="24"/>
          <w:szCs w:val="24"/>
        </w:rPr>
        <w:t xml:space="preserve"> State legislator, </w:t>
      </w:r>
      <w:r w:rsidR="008D7F46">
        <w:rPr>
          <w:sz w:val="24"/>
          <w:szCs w:val="24"/>
        </w:rPr>
        <w:t>and MN</w:t>
      </w:r>
      <w:r w:rsidR="006E7156">
        <w:rPr>
          <w:sz w:val="24"/>
          <w:szCs w:val="24"/>
        </w:rPr>
        <w:t xml:space="preserve"> State Housing Finance Agency</w:t>
      </w:r>
      <w:r>
        <w:rPr>
          <w:sz w:val="24"/>
          <w:szCs w:val="24"/>
        </w:rPr>
        <w:t xml:space="preserve">. </w:t>
      </w:r>
      <w:r w:rsidR="00020691">
        <w:rPr>
          <w:sz w:val="24"/>
          <w:szCs w:val="24"/>
        </w:rPr>
        <w:t xml:space="preserve"> </w:t>
      </w:r>
      <w:r w:rsidR="005D09D3">
        <w:rPr>
          <w:sz w:val="24"/>
          <w:szCs w:val="24"/>
        </w:rPr>
        <w:t xml:space="preserve">If City of Minneapolis can </w:t>
      </w:r>
      <w:r w:rsidR="000C39C3">
        <w:rPr>
          <w:sz w:val="24"/>
          <w:szCs w:val="24"/>
        </w:rPr>
        <w:t xml:space="preserve">fund </w:t>
      </w:r>
      <w:r w:rsidR="008D7F46">
        <w:rPr>
          <w:sz w:val="24"/>
          <w:szCs w:val="24"/>
        </w:rPr>
        <w:t>$</w:t>
      </w:r>
      <w:r w:rsidR="003C2093">
        <w:rPr>
          <w:sz w:val="24"/>
          <w:szCs w:val="24"/>
        </w:rPr>
        <w:t>150 million</w:t>
      </w:r>
      <w:r w:rsidR="005D09D3">
        <w:rPr>
          <w:sz w:val="24"/>
          <w:szCs w:val="24"/>
        </w:rPr>
        <w:t xml:space="preserve"> </w:t>
      </w:r>
      <w:r w:rsidR="008D7F46">
        <w:rPr>
          <w:sz w:val="24"/>
          <w:szCs w:val="24"/>
        </w:rPr>
        <w:t>for Vikings</w:t>
      </w:r>
      <w:r w:rsidR="006E7156">
        <w:rPr>
          <w:sz w:val="24"/>
          <w:szCs w:val="24"/>
        </w:rPr>
        <w:t xml:space="preserve"> Stadium, then they can easily fund public housing that requires </w:t>
      </w:r>
      <w:r w:rsidR="000C39C3">
        <w:rPr>
          <w:sz w:val="24"/>
          <w:szCs w:val="24"/>
        </w:rPr>
        <w:t>a fraction of that.</w:t>
      </w:r>
      <w:r w:rsidR="006E7156">
        <w:rPr>
          <w:sz w:val="24"/>
          <w:szCs w:val="24"/>
        </w:rPr>
        <w:t xml:space="preserve"> </w:t>
      </w:r>
    </w:p>
    <w:p w:rsidR="00D0302E" w:rsidRPr="000C39C3" w:rsidRDefault="00D0302E" w:rsidP="00D0302E">
      <w:pPr>
        <w:pStyle w:val="ListParagraph"/>
        <w:spacing w:line="240" w:lineRule="auto"/>
        <w:ind w:left="1440" w:right="720"/>
        <w:rPr>
          <w:sz w:val="24"/>
          <w:szCs w:val="24"/>
        </w:rPr>
      </w:pPr>
      <w:r w:rsidRPr="000C39C3">
        <w:rPr>
          <w:sz w:val="24"/>
          <w:szCs w:val="24"/>
        </w:rPr>
        <w:t xml:space="preserve">Low </w:t>
      </w:r>
      <w:r w:rsidR="00020691">
        <w:rPr>
          <w:sz w:val="24"/>
          <w:szCs w:val="24"/>
        </w:rPr>
        <w:t>-</w:t>
      </w:r>
      <w:r w:rsidRPr="000C39C3">
        <w:rPr>
          <w:sz w:val="24"/>
          <w:szCs w:val="24"/>
        </w:rPr>
        <w:t>Income Housing Tax Credit</w:t>
      </w:r>
      <w:r w:rsidR="000C39C3" w:rsidRPr="000C39C3">
        <w:rPr>
          <w:sz w:val="24"/>
          <w:szCs w:val="24"/>
        </w:rPr>
        <w:t xml:space="preserve"> ( </w:t>
      </w:r>
      <w:proofErr w:type="spellStart"/>
      <w:r w:rsidR="000C39C3" w:rsidRPr="000C39C3">
        <w:rPr>
          <w:sz w:val="24"/>
          <w:szCs w:val="24"/>
        </w:rPr>
        <w:t>LIHT</w:t>
      </w:r>
      <w:proofErr w:type="spellEnd"/>
      <w:r w:rsidR="000C39C3" w:rsidRPr="000C39C3">
        <w:rPr>
          <w:sz w:val="24"/>
          <w:szCs w:val="24"/>
        </w:rPr>
        <w:t>)</w:t>
      </w:r>
      <w:r w:rsidR="006E7156" w:rsidRPr="000C39C3">
        <w:rPr>
          <w:sz w:val="24"/>
          <w:szCs w:val="24"/>
        </w:rPr>
        <w:t xml:space="preserve">, and </w:t>
      </w:r>
      <w:r w:rsidRPr="000C39C3">
        <w:rPr>
          <w:sz w:val="24"/>
          <w:szCs w:val="24"/>
        </w:rPr>
        <w:t>Rental Assistance Demonstration</w:t>
      </w:r>
      <w:r w:rsidR="000C39C3" w:rsidRPr="000C39C3">
        <w:rPr>
          <w:sz w:val="24"/>
          <w:szCs w:val="24"/>
        </w:rPr>
        <w:t xml:space="preserve">, ( RAD) are both private </w:t>
      </w:r>
      <w:r w:rsidR="006E7156" w:rsidRPr="000C39C3">
        <w:rPr>
          <w:sz w:val="24"/>
          <w:szCs w:val="24"/>
        </w:rPr>
        <w:t xml:space="preserve"> financing schemes</w:t>
      </w:r>
      <w:r w:rsidR="000C39C3" w:rsidRPr="000C39C3">
        <w:rPr>
          <w:sz w:val="24"/>
          <w:szCs w:val="24"/>
        </w:rPr>
        <w:t xml:space="preserve"> for private developers to profit</w:t>
      </w:r>
      <w:r w:rsidR="00020691">
        <w:rPr>
          <w:sz w:val="24"/>
          <w:szCs w:val="24"/>
        </w:rPr>
        <w:t>, both</w:t>
      </w:r>
      <w:r w:rsidR="006E7156" w:rsidRPr="000C39C3">
        <w:rPr>
          <w:sz w:val="24"/>
          <w:szCs w:val="24"/>
        </w:rPr>
        <w:t xml:space="preserve"> should be deleted</w:t>
      </w:r>
      <w:r w:rsidR="000C39C3" w:rsidRPr="000C39C3">
        <w:rPr>
          <w:sz w:val="24"/>
          <w:szCs w:val="24"/>
        </w:rPr>
        <w:t>,</w:t>
      </w:r>
      <w:r w:rsidR="006E7156" w:rsidRPr="000C39C3">
        <w:rPr>
          <w:sz w:val="24"/>
          <w:szCs w:val="24"/>
        </w:rPr>
        <w:t xml:space="preserve"> and replaced with</w:t>
      </w:r>
      <w:r w:rsidR="000C39C3" w:rsidRPr="000C39C3">
        <w:rPr>
          <w:sz w:val="24"/>
          <w:szCs w:val="24"/>
        </w:rPr>
        <w:t xml:space="preserve"> city or state </w:t>
      </w:r>
      <w:r w:rsidR="006E7156" w:rsidRPr="000C39C3">
        <w:rPr>
          <w:sz w:val="24"/>
          <w:szCs w:val="24"/>
        </w:rPr>
        <w:t xml:space="preserve"> public financing models to keep Minneapolis Public Housing</w:t>
      </w:r>
      <w:r w:rsidR="000C39C3" w:rsidRPr="000C39C3">
        <w:rPr>
          <w:sz w:val="24"/>
          <w:szCs w:val="24"/>
        </w:rPr>
        <w:t xml:space="preserve"> truly </w:t>
      </w:r>
      <w:r w:rsidR="006E7156" w:rsidRPr="000C39C3">
        <w:rPr>
          <w:sz w:val="24"/>
          <w:szCs w:val="24"/>
        </w:rPr>
        <w:t xml:space="preserve"> public. </w:t>
      </w:r>
    </w:p>
    <w:p w:rsidR="00D0302E" w:rsidRPr="000C39C3" w:rsidRDefault="00D0302E" w:rsidP="00D0302E">
      <w:pPr>
        <w:pStyle w:val="ListParagraph"/>
        <w:spacing w:line="240" w:lineRule="auto"/>
        <w:ind w:left="1440" w:right="720"/>
        <w:rPr>
          <w:sz w:val="24"/>
          <w:szCs w:val="24"/>
        </w:rPr>
      </w:pPr>
    </w:p>
    <w:p w:rsidR="000537DA" w:rsidRDefault="000537DA" w:rsidP="001246A5">
      <w:pPr>
        <w:pStyle w:val="ListParagraph"/>
        <w:ind w:left="0"/>
        <w:rPr>
          <w:b/>
          <w:sz w:val="24"/>
          <w:szCs w:val="24"/>
        </w:rPr>
      </w:pPr>
    </w:p>
    <w:p w:rsidR="00D0302E" w:rsidRDefault="00D0302E" w:rsidP="001246A5">
      <w:pPr>
        <w:pStyle w:val="ListParagraph"/>
        <w:ind w:left="0"/>
        <w:rPr>
          <w:b/>
          <w:sz w:val="24"/>
          <w:szCs w:val="24"/>
        </w:rPr>
      </w:pPr>
    </w:p>
    <w:p w:rsidR="008D7F46" w:rsidRDefault="008D7F46" w:rsidP="001246A5">
      <w:pPr>
        <w:pStyle w:val="ListParagraph"/>
        <w:ind w:left="0"/>
        <w:rPr>
          <w:b/>
          <w:sz w:val="24"/>
          <w:szCs w:val="24"/>
        </w:rPr>
      </w:pPr>
    </w:p>
    <w:p w:rsidR="008D7F46" w:rsidRDefault="008D7F46" w:rsidP="001246A5">
      <w:pPr>
        <w:pStyle w:val="ListParagraph"/>
        <w:ind w:left="0"/>
        <w:rPr>
          <w:b/>
          <w:sz w:val="24"/>
          <w:szCs w:val="24"/>
        </w:rPr>
      </w:pPr>
    </w:p>
    <w:p w:rsidR="00D0302E" w:rsidRDefault="00D0302E" w:rsidP="001246A5">
      <w:pPr>
        <w:pStyle w:val="ListParagraph"/>
        <w:ind w:left="0"/>
        <w:rPr>
          <w:b/>
          <w:sz w:val="24"/>
          <w:szCs w:val="24"/>
        </w:rPr>
      </w:pPr>
    </w:p>
    <w:p w:rsidR="008418DA" w:rsidRPr="008418DA" w:rsidRDefault="008418DA" w:rsidP="008418DA">
      <w:pPr>
        <w:pStyle w:val="ListParagraph"/>
        <w:ind w:left="0"/>
        <w:jc w:val="center"/>
        <w:rPr>
          <w:b/>
          <w:sz w:val="24"/>
          <w:szCs w:val="24"/>
        </w:rPr>
      </w:pPr>
      <w:r w:rsidRPr="008418DA">
        <w:rPr>
          <w:b/>
          <w:sz w:val="24"/>
          <w:szCs w:val="24"/>
        </w:rPr>
        <w:t>Summary of Recommendations</w:t>
      </w:r>
    </w:p>
    <w:p w:rsidR="008418DA" w:rsidRDefault="008418DA" w:rsidP="008418DA">
      <w:pPr>
        <w:pStyle w:val="ListParagraph"/>
        <w:tabs>
          <w:tab w:val="left" w:pos="904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4DA3" w:rsidRPr="0001604F" w:rsidRDefault="001B7EEF" w:rsidP="0001604F">
      <w:pPr>
        <w:pStyle w:val="ListParagraph"/>
        <w:ind w:left="0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>Ba</w:t>
      </w:r>
      <w:r w:rsidR="00770285" w:rsidRPr="0001604F">
        <w:rPr>
          <w:sz w:val="24"/>
          <w:szCs w:val="24"/>
        </w:rPr>
        <w:t>sed on</w:t>
      </w:r>
      <w:r w:rsidR="0001604F" w:rsidRPr="0001604F">
        <w:rPr>
          <w:sz w:val="24"/>
          <w:szCs w:val="24"/>
        </w:rPr>
        <w:t xml:space="preserve"> these points</w:t>
      </w:r>
      <w:r w:rsidR="003E765C" w:rsidRPr="0001604F">
        <w:rPr>
          <w:sz w:val="24"/>
          <w:szCs w:val="24"/>
        </w:rPr>
        <w:t xml:space="preserve"> alone, the Draft Plan </w:t>
      </w:r>
      <w:proofErr w:type="gramStart"/>
      <w:r w:rsidR="003E765C" w:rsidRPr="0001604F">
        <w:rPr>
          <w:sz w:val="24"/>
          <w:szCs w:val="24"/>
        </w:rPr>
        <w:t>should be returned</w:t>
      </w:r>
      <w:proofErr w:type="gramEnd"/>
      <w:r w:rsidR="003E765C" w:rsidRPr="0001604F">
        <w:rPr>
          <w:sz w:val="24"/>
          <w:szCs w:val="24"/>
        </w:rPr>
        <w:t xml:space="preserve"> to Staff </w:t>
      </w:r>
      <w:r w:rsidR="00D25439" w:rsidRPr="0001604F">
        <w:rPr>
          <w:sz w:val="24"/>
          <w:szCs w:val="24"/>
        </w:rPr>
        <w:t xml:space="preserve">for corrections and </w:t>
      </w:r>
      <w:r w:rsidR="00787152">
        <w:rPr>
          <w:sz w:val="24"/>
          <w:szCs w:val="24"/>
        </w:rPr>
        <w:t xml:space="preserve">deletions </w:t>
      </w:r>
      <w:r w:rsidR="000C39C3">
        <w:rPr>
          <w:sz w:val="24"/>
          <w:szCs w:val="24"/>
        </w:rPr>
        <w:t xml:space="preserve">per these </w:t>
      </w:r>
      <w:r w:rsidR="003C2093">
        <w:rPr>
          <w:sz w:val="24"/>
          <w:szCs w:val="24"/>
        </w:rPr>
        <w:t xml:space="preserve">five </w:t>
      </w:r>
      <w:r w:rsidR="003C2093" w:rsidRPr="0001604F">
        <w:rPr>
          <w:sz w:val="24"/>
          <w:szCs w:val="24"/>
        </w:rPr>
        <w:t>points</w:t>
      </w:r>
      <w:r w:rsidR="00D25439" w:rsidRPr="0001604F">
        <w:rPr>
          <w:sz w:val="24"/>
          <w:szCs w:val="24"/>
        </w:rPr>
        <w:t xml:space="preserve">.  </w:t>
      </w:r>
      <w:r w:rsidR="0001604F" w:rsidRPr="0001604F">
        <w:rPr>
          <w:sz w:val="24"/>
          <w:szCs w:val="24"/>
        </w:rPr>
        <w:t xml:space="preserve">In addition: </w:t>
      </w:r>
      <w:r w:rsidR="00EA4DA3" w:rsidRPr="0001604F">
        <w:rPr>
          <w:rFonts w:cstheme="minorHAnsi"/>
          <w:sz w:val="24"/>
          <w:szCs w:val="24"/>
        </w:rPr>
        <w:t>one of the</w:t>
      </w:r>
      <w:r w:rsidR="00787152">
        <w:rPr>
          <w:rFonts w:cstheme="minorHAnsi"/>
          <w:sz w:val="24"/>
          <w:szCs w:val="24"/>
        </w:rPr>
        <w:t xml:space="preserve"> </w:t>
      </w:r>
      <w:proofErr w:type="spellStart"/>
      <w:r w:rsidR="00787152">
        <w:rPr>
          <w:rFonts w:cstheme="minorHAnsi"/>
          <w:sz w:val="24"/>
          <w:szCs w:val="24"/>
        </w:rPr>
        <w:t>MPHA’s</w:t>
      </w:r>
      <w:proofErr w:type="spellEnd"/>
      <w:r w:rsidR="00EA4DA3" w:rsidRPr="0001604F">
        <w:rPr>
          <w:rFonts w:cstheme="minorHAnsi"/>
          <w:sz w:val="24"/>
          <w:szCs w:val="24"/>
        </w:rPr>
        <w:t xml:space="preserve"> </w:t>
      </w:r>
      <w:r w:rsidR="00EA4DA3" w:rsidRPr="00787152">
        <w:rPr>
          <w:rFonts w:eastAsia="Times New Roman" w:cstheme="minorHAnsi"/>
          <w:i/>
          <w:sz w:val="24"/>
          <w:szCs w:val="24"/>
        </w:rPr>
        <w:t xml:space="preserve">Guiding Principles for Redevelopment and Capital Investments </w:t>
      </w:r>
      <w:r w:rsidR="00787152" w:rsidRPr="00787152">
        <w:rPr>
          <w:rFonts w:eastAsia="Times New Roman" w:cstheme="minorHAnsi"/>
          <w:i/>
          <w:sz w:val="24"/>
          <w:szCs w:val="24"/>
        </w:rPr>
        <w:t xml:space="preserve">at the MPHA </w:t>
      </w:r>
      <w:r w:rsidR="00EA4DA3" w:rsidRPr="0001604F">
        <w:rPr>
          <w:rFonts w:eastAsia="Times New Roman" w:cstheme="minorHAnsi"/>
          <w:sz w:val="24"/>
          <w:szCs w:val="24"/>
        </w:rPr>
        <w:t>states:</w:t>
      </w:r>
    </w:p>
    <w:p w:rsidR="00EA4DA3" w:rsidRPr="00E326BB" w:rsidRDefault="00EA4DA3" w:rsidP="00EA4DA3">
      <w:pPr>
        <w:spacing w:after="0" w:line="240" w:lineRule="auto"/>
        <w:ind w:left="720" w:right="720"/>
        <w:rPr>
          <w:rFonts w:eastAsia="Times New Roman" w:cstheme="minorHAnsi"/>
          <w:i/>
          <w:sz w:val="24"/>
          <w:szCs w:val="24"/>
        </w:rPr>
      </w:pPr>
      <w:r w:rsidRPr="00E326BB">
        <w:rPr>
          <w:rFonts w:cstheme="minorHAnsi"/>
          <w:i/>
          <w:sz w:val="24"/>
          <w:szCs w:val="24"/>
        </w:rPr>
        <w:t xml:space="preserve"> </w:t>
      </w:r>
      <w:r w:rsidRPr="00E326BB">
        <w:rPr>
          <w:rFonts w:eastAsia="Times New Roman" w:cstheme="minorHAnsi"/>
          <w:i/>
          <w:sz w:val="24"/>
          <w:szCs w:val="24"/>
        </w:rPr>
        <w:t xml:space="preserve">MPHA will encourage active and meaningful resident and community participation throughout the planning and implementation process . . . </w:t>
      </w:r>
    </w:p>
    <w:p w:rsidR="000537DA" w:rsidRDefault="000537DA" w:rsidP="003E765C">
      <w:pPr>
        <w:pStyle w:val="ListParagraph"/>
        <w:ind w:left="0"/>
        <w:rPr>
          <w:sz w:val="24"/>
          <w:szCs w:val="24"/>
        </w:rPr>
      </w:pPr>
    </w:p>
    <w:p w:rsidR="000C39C3" w:rsidRDefault="00EA4DA3" w:rsidP="003E765C">
      <w:pPr>
        <w:pStyle w:val="ListParagraph"/>
        <w:ind w:left="0"/>
        <w:rPr>
          <w:sz w:val="24"/>
          <w:szCs w:val="24"/>
        </w:rPr>
      </w:pPr>
      <w:r w:rsidRPr="0001604F">
        <w:rPr>
          <w:sz w:val="24"/>
          <w:szCs w:val="24"/>
        </w:rPr>
        <w:t>B</w:t>
      </w:r>
      <w:r w:rsidR="00D25439" w:rsidRPr="0001604F">
        <w:rPr>
          <w:sz w:val="24"/>
          <w:szCs w:val="24"/>
        </w:rPr>
        <w:t xml:space="preserve">ecause of </w:t>
      </w:r>
      <w:r w:rsidR="00F72E98" w:rsidRPr="0001604F">
        <w:rPr>
          <w:sz w:val="24"/>
          <w:szCs w:val="24"/>
        </w:rPr>
        <w:t>t</w:t>
      </w:r>
      <w:r w:rsidR="00D25439" w:rsidRPr="0001604F">
        <w:rPr>
          <w:sz w:val="24"/>
          <w:szCs w:val="24"/>
        </w:rPr>
        <w:t xml:space="preserve">he MPHA staff’s demonstrated predisposition </w:t>
      </w:r>
      <w:r w:rsidRPr="0001604F">
        <w:rPr>
          <w:sz w:val="24"/>
          <w:szCs w:val="24"/>
        </w:rPr>
        <w:t>to privatization as shown</w:t>
      </w:r>
      <w:r w:rsidR="00D25439" w:rsidRPr="0001604F">
        <w:rPr>
          <w:sz w:val="24"/>
          <w:szCs w:val="24"/>
        </w:rPr>
        <w:t xml:space="preserve"> throughout the course its </w:t>
      </w:r>
      <w:r w:rsidRPr="0001604F">
        <w:rPr>
          <w:sz w:val="24"/>
          <w:szCs w:val="24"/>
        </w:rPr>
        <w:t xml:space="preserve">preparation and </w:t>
      </w:r>
      <w:r w:rsidR="00D25439" w:rsidRPr="0001604F">
        <w:rPr>
          <w:sz w:val="24"/>
          <w:szCs w:val="24"/>
        </w:rPr>
        <w:t xml:space="preserve">advancement of the Draft </w:t>
      </w:r>
      <w:proofErr w:type="spellStart"/>
      <w:r w:rsidR="00D25439" w:rsidRPr="0001604F">
        <w:rPr>
          <w:sz w:val="24"/>
          <w:szCs w:val="24"/>
        </w:rPr>
        <w:t>MTW</w:t>
      </w:r>
      <w:proofErr w:type="spellEnd"/>
      <w:r w:rsidR="00D25439" w:rsidRPr="0001604F">
        <w:rPr>
          <w:sz w:val="24"/>
          <w:szCs w:val="24"/>
        </w:rPr>
        <w:t xml:space="preserve"> Annual Report</w:t>
      </w:r>
      <w:r w:rsidR="003E765C" w:rsidRPr="0001604F">
        <w:rPr>
          <w:sz w:val="24"/>
          <w:szCs w:val="24"/>
        </w:rPr>
        <w:t xml:space="preserve"> </w:t>
      </w:r>
      <w:r w:rsidR="00F72E98" w:rsidRPr="0001604F">
        <w:rPr>
          <w:sz w:val="24"/>
          <w:szCs w:val="24"/>
        </w:rPr>
        <w:t>2018,</w:t>
      </w:r>
      <w:r w:rsidR="000C39C3">
        <w:rPr>
          <w:sz w:val="24"/>
          <w:szCs w:val="24"/>
        </w:rPr>
        <w:t xml:space="preserve"> </w:t>
      </w:r>
      <w:r w:rsidR="000C39C3" w:rsidRPr="00787152">
        <w:rPr>
          <w:rFonts w:eastAsia="Times New Roman" w:cstheme="minorHAnsi"/>
          <w:i/>
          <w:sz w:val="24"/>
          <w:szCs w:val="24"/>
        </w:rPr>
        <w:t>Guiding Principles for Redevelopment and Capital Investments</w:t>
      </w:r>
      <w:r w:rsidR="000C39C3">
        <w:rPr>
          <w:rFonts w:eastAsia="Times New Roman" w:cstheme="minorHAnsi"/>
          <w:i/>
          <w:sz w:val="24"/>
          <w:szCs w:val="24"/>
        </w:rPr>
        <w:t xml:space="preserve">, </w:t>
      </w:r>
      <w:r w:rsidR="003E765C" w:rsidRPr="0001604F">
        <w:rPr>
          <w:sz w:val="24"/>
          <w:szCs w:val="24"/>
        </w:rPr>
        <w:t xml:space="preserve"> </w:t>
      </w:r>
      <w:r w:rsidR="00020691">
        <w:rPr>
          <w:sz w:val="24"/>
          <w:szCs w:val="24"/>
        </w:rPr>
        <w:t>f</w:t>
      </w:r>
      <w:r w:rsidR="00F72E98" w:rsidRPr="0001604F">
        <w:rPr>
          <w:sz w:val="24"/>
          <w:szCs w:val="24"/>
        </w:rPr>
        <w:t xml:space="preserve">acilitation </w:t>
      </w:r>
      <w:r w:rsidR="003D48BF" w:rsidRPr="0001604F">
        <w:rPr>
          <w:sz w:val="24"/>
          <w:szCs w:val="24"/>
        </w:rPr>
        <w:t>of r</w:t>
      </w:r>
      <w:r w:rsidR="003E765C" w:rsidRPr="0001604F">
        <w:rPr>
          <w:sz w:val="24"/>
          <w:szCs w:val="24"/>
        </w:rPr>
        <w:t xml:space="preserve">esident participation </w:t>
      </w:r>
      <w:r w:rsidR="003D48BF" w:rsidRPr="0001604F">
        <w:rPr>
          <w:sz w:val="24"/>
          <w:szCs w:val="24"/>
        </w:rPr>
        <w:t xml:space="preserve">in the planning </w:t>
      </w:r>
      <w:r w:rsidR="003E765C" w:rsidRPr="0001604F">
        <w:rPr>
          <w:sz w:val="24"/>
          <w:szCs w:val="24"/>
        </w:rPr>
        <w:t>process</w:t>
      </w:r>
      <w:r w:rsidRPr="0001604F">
        <w:rPr>
          <w:sz w:val="24"/>
          <w:szCs w:val="24"/>
        </w:rPr>
        <w:t xml:space="preserve"> in 2018, de</w:t>
      </w:r>
      <w:r w:rsidR="003E765C" w:rsidRPr="0001604F">
        <w:rPr>
          <w:sz w:val="24"/>
          <w:szCs w:val="24"/>
        </w:rPr>
        <w:t xml:space="preserve">scribed </w:t>
      </w:r>
      <w:r w:rsidR="003D20F0" w:rsidRPr="0001604F">
        <w:rPr>
          <w:sz w:val="24"/>
          <w:szCs w:val="24"/>
        </w:rPr>
        <w:t>(page 8</w:t>
      </w:r>
      <w:r w:rsidR="003D48BF" w:rsidRPr="0001604F">
        <w:rPr>
          <w:sz w:val="24"/>
          <w:szCs w:val="24"/>
        </w:rPr>
        <w:t xml:space="preserve">) </w:t>
      </w:r>
      <w:r w:rsidR="003E765C" w:rsidRPr="0001604F">
        <w:rPr>
          <w:sz w:val="24"/>
          <w:szCs w:val="24"/>
        </w:rPr>
        <w:t>and budgeted</w:t>
      </w:r>
      <w:r w:rsidR="001B7EEF">
        <w:rPr>
          <w:sz w:val="24"/>
          <w:szCs w:val="24"/>
        </w:rPr>
        <w:t xml:space="preserve"> with</w:t>
      </w:r>
      <w:r w:rsidR="003D48BF" w:rsidRPr="0001604F">
        <w:rPr>
          <w:sz w:val="24"/>
          <w:szCs w:val="24"/>
        </w:rPr>
        <w:t xml:space="preserve"> $100,000</w:t>
      </w:r>
      <w:r w:rsidR="00F87A43">
        <w:rPr>
          <w:sz w:val="24"/>
          <w:szCs w:val="24"/>
        </w:rPr>
        <w:t xml:space="preserve"> (</w:t>
      </w:r>
      <w:r w:rsidR="001B7EEF">
        <w:rPr>
          <w:sz w:val="24"/>
          <w:szCs w:val="24"/>
        </w:rPr>
        <w:t>page 18</w:t>
      </w:r>
      <w:r w:rsidR="00F87A43">
        <w:rPr>
          <w:sz w:val="24"/>
          <w:szCs w:val="24"/>
        </w:rPr>
        <w:t xml:space="preserve">) </w:t>
      </w:r>
      <w:r w:rsidR="00D25439" w:rsidRPr="0001604F">
        <w:rPr>
          <w:sz w:val="24"/>
          <w:szCs w:val="24"/>
        </w:rPr>
        <w:t>cannot be entrusted to MPH</w:t>
      </w:r>
      <w:r w:rsidR="001B7EEF">
        <w:rPr>
          <w:sz w:val="24"/>
          <w:szCs w:val="24"/>
        </w:rPr>
        <w:t xml:space="preserve">A </w:t>
      </w:r>
      <w:r w:rsidR="00D25439" w:rsidRPr="0001604F">
        <w:rPr>
          <w:sz w:val="24"/>
          <w:szCs w:val="24"/>
        </w:rPr>
        <w:t>staff</w:t>
      </w:r>
      <w:r w:rsidR="000C39C3">
        <w:rPr>
          <w:sz w:val="24"/>
          <w:szCs w:val="24"/>
        </w:rPr>
        <w:t xml:space="preserve">. </w:t>
      </w:r>
      <w:r w:rsidR="003C2093">
        <w:rPr>
          <w:sz w:val="24"/>
          <w:szCs w:val="24"/>
        </w:rPr>
        <w:t xml:space="preserve"> Knowing the history of MPHA, this </w:t>
      </w:r>
      <w:r w:rsidR="00500E3E">
        <w:rPr>
          <w:sz w:val="24"/>
          <w:szCs w:val="24"/>
        </w:rPr>
        <w:t xml:space="preserve">funding will go to consulting fees </w:t>
      </w:r>
      <w:r w:rsidR="003C2093">
        <w:rPr>
          <w:sz w:val="24"/>
          <w:szCs w:val="24"/>
        </w:rPr>
        <w:t xml:space="preserve">instead home </w:t>
      </w:r>
      <w:r w:rsidR="00500E3E">
        <w:rPr>
          <w:sz w:val="24"/>
          <w:szCs w:val="24"/>
        </w:rPr>
        <w:t>repair</w:t>
      </w:r>
      <w:r w:rsidR="003C2093">
        <w:rPr>
          <w:sz w:val="24"/>
          <w:szCs w:val="24"/>
        </w:rPr>
        <w:t>s</w:t>
      </w:r>
      <w:r w:rsidR="00020691">
        <w:rPr>
          <w:sz w:val="24"/>
          <w:szCs w:val="24"/>
        </w:rPr>
        <w:t>,</w:t>
      </w:r>
      <w:r w:rsidR="00500E3E">
        <w:rPr>
          <w:sz w:val="24"/>
          <w:szCs w:val="24"/>
        </w:rPr>
        <w:t xml:space="preserve"> or </w:t>
      </w:r>
      <w:r w:rsidR="00020691">
        <w:rPr>
          <w:sz w:val="24"/>
          <w:szCs w:val="24"/>
        </w:rPr>
        <w:t>a finding public funding model that is</w:t>
      </w:r>
      <w:r w:rsidR="00500E3E">
        <w:rPr>
          <w:sz w:val="24"/>
          <w:szCs w:val="24"/>
        </w:rPr>
        <w:t xml:space="preserve"> community</w:t>
      </w:r>
      <w:r w:rsidR="00020691">
        <w:rPr>
          <w:sz w:val="24"/>
          <w:szCs w:val="24"/>
        </w:rPr>
        <w:t>,</w:t>
      </w:r>
      <w:r w:rsidR="00500E3E">
        <w:rPr>
          <w:sz w:val="24"/>
          <w:szCs w:val="24"/>
        </w:rPr>
        <w:t xml:space="preserve"> and resident approved, and transparent.  </w:t>
      </w:r>
      <w:proofErr w:type="gramStart"/>
      <w:r w:rsidR="00500E3E">
        <w:rPr>
          <w:sz w:val="24"/>
          <w:szCs w:val="24"/>
        </w:rPr>
        <w:t>In order to accomplish this goal, City of Minn</w:t>
      </w:r>
      <w:r w:rsidR="003C2093">
        <w:rPr>
          <w:sz w:val="24"/>
          <w:szCs w:val="24"/>
        </w:rPr>
        <w:t>eapolis</w:t>
      </w:r>
      <w:r w:rsidR="00500E3E">
        <w:rPr>
          <w:sz w:val="24"/>
          <w:szCs w:val="24"/>
        </w:rPr>
        <w:t xml:space="preserve"> has a legal charter over MPHA</w:t>
      </w:r>
      <w:r w:rsidR="00020691">
        <w:rPr>
          <w:sz w:val="24"/>
          <w:szCs w:val="24"/>
        </w:rPr>
        <w:t>, and should</w:t>
      </w:r>
      <w:r w:rsidR="00500E3E">
        <w:rPr>
          <w:sz w:val="24"/>
          <w:szCs w:val="24"/>
        </w:rPr>
        <w:t xml:space="preserve"> hold MPHA accountable</w:t>
      </w:r>
      <w:r w:rsidR="00020691">
        <w:rPr>
          <w:sz w:val="24"/>
          <w:szCs w:val="24"/>
        </w:rPr>
        <w:t xml:space="preserve"> for undermining public housing.</w:t>
      </w:r>
      <w:proofErr w:type="gramEnd"/>
      <w:r w:rsidR="00020691">
        <w:rPr>
          <w:sz w:val="24"/>
          <w:szCs w:val="24"/>
        </w:rPr>
        <w:t xml:space="preserve"> </w:t>
      </w:r>
    </w:p>
    <w:p w:rsidR="009B7827" w:rsidRDefault="000C39C3" w:rsidP="003E765C">
      <w:pPr>
        <w:pStyle w:val="ListParagraph"/>
        <w:ind w:left="0"/>
        <w:rPr>
          <w:rFonts w:eastAsia="Times New Roman" w:cstheme="minorHAnsi"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3D20F0" w:rsidRPr="0001604F">
        <w:rPr>
          <w:sz w:val="24"/>
          <w:szCs w:val="24"/>
        </w:rPr>
        <w:t>MPHA Board should secure outside, independent s</w:t>
      </w:r>
      <w:r w:rsidR="00D25439" w:rsidRPr="0001604F">
        <w:rPr>
          <w:sz w:val="24"/>
          <w:szCs w:val="24"/>
        </w:rPr>
        <w:t>ervi</w:t>
      </w:r>
      <w:r w:rsidR="00F72E98" w:rsidRPr="0001604F">
        <w:rPr>
          <w:sz w:val="24"/>
          <w:szCs w:val="24"/>
        </w:rPr>
        <w:t>ces to oversee</w:t>
      </w:r>
      <w:r w:rsidR="003D48BF" w:rsidRPr="0001604F">
        <w:rPr>
          <w:sz w:val="24"/>
          <w:szCs w:val="24"/>
        </w:rPr>
        <w:t xml:space="preserve"> </w:t>
      </w:r>
      <w:r w:rsidR="00787152">
        <w:rPr>
          <w:sz w:val="24"/>
          <w:szCs w:val="24"/>
        </w:rPr>
        <w:t xml:space="preserve">an equitable </w:t>
      </w:r>
      <w:r w:rsidR="003D48BF" w:rsidRPr="0001604F">
        <w:rPr>
          <w:sz w:val="24"/>
          <w:szCs w:val="24"/>
        </w:rPr>
        <w:t xml:space="preserve">resident </w:t>
      </w:r>
      <w:r w:rsidR="00020691">
        <w:rPr>
          <w:sz w:val="24"/>
          <w:szCs w:val="24"/>
        </w:rPr>
        <w:t>participant selection,</w:t>
      </w:r>
      <w:r w:rsidR="003C2093">
        <w:rPr>
          <w:sz w:val="24"/>
          <w:szCs w:val="24"/>
        </w:rPr>
        <w:t xml:space="preserve"> </w:t>
      </w:r>
      <w:r w:rsidR="00F72E98" w:rsidRPr="0001604F">
        <w:rPr>
          <w:sz w:val="24"/>
          <w:szCs w:val="24"/>
        </w:rPr>
        <w:t>to convene</w:t>
      </w:r>
      <w:r w:rsidR="003D20F0" w:rsidRPr="0001604F">
        <w:rPr>
          <w:sz w:val="24"/>
          <w:szCs w:val="24"/>
        </w:rPr>
        <w:t>,</w:t>
      </w:r>
      <w:r w:rsidR="00D25439" w:rsidRPr="0001604F">
        <w:rPr>
          <w:sz w:val="24"/>
          <w:szCs w:val="24"/>
        </w:rPr>
        <w:t xml:space="preserve"> and </w:t>
      </w:r>
      <w:r w:rsidR="00F72E98" w:rsidRPr="0001604F">
        <w:rPr>
          <w:sz w:val="24"/>
          <w:szCs w:val="24"/>
        </w:rPr>
        <w:t xml:space="preserve">to </w:t>
      </w:r>
      <w:r w:rsidR="009B7827">
        <w:rPr>
          <w:sz w:val="24"/>
          <w:szCs w:val="24"/>
        </w:rPr>
        <w:t>facilitate community</w:t>
      </w:r>
      <w:r w:rsidR="003C2093">
        <w:rPr>
          <w:sz w:val="24"/>
          <w:szCs w:val="24"/>
        </w:rPr>
        <w:t xml:space="preserve"> </w:t>
      </w:r>
      <w:r w:rsidR="003C2093" w:rsidRPr="0001604F">
        <w:rPr>
          <w:sz w:val="24"/>
          <w:szCs w:val="24"/>
        </w:rPr>
        <w:t>meetings</w:t>
      </w:r>
      <w:r w:rsidR="00D25439" w:rsidRPr="0001604F">
        <w:rPr>
          <w:sz w:val="24"/>
          <w:szCs w:val="24"/>
        </w:rPr>
        <w:t xml:space="preserve"> </w:t>
      </w:r>
      <w:r w:rsidR="003D20F0" w:rsidRPr="0001604F">
        <w:rPr>
          <w:sz w:val="24"/>
          <w:szCs w:val="24"/>
        </w:rPr>
        <w:t xml:space="preserve">using </w:t>
      </w:r>
      <w:r w:rsidR="00D25439" w:rsidRPr="0001604F">
        <w:rPr>
          <w:sz w:val="24"/>
          <w:szCs w:val="24"/>
        </w:rPr>
        <w:t xml:space="preserve">a process </w:t>
      </w:r>
      <w:r w:rsidR="003D20F0" w:rsidRPr="0001604F">
        <w:rPr>
          <w:sz w:val="24"/>
          <w:szCs w:val="24"/>
        </w:rPr>
        <w:t>that hires a culturally competent</w:t>
      </w:r>
      <w:r w:rsidR="009B7827">
        <w:rPr>
          <w:sz w:val="24"/>
          <w:szCs w:val="24"/>
        </w:rPr>
        <w:t>,</w:t>
      </w:r>
      <w:r w:rsidR="003D20F0" w:rsidRPr="0001604F">
        <w:rPr>
          <w:sz w:val="24"/>
          <w:szCs w:val="24"/>
        </w:rPr>
        <w:t xml:space="preserve"> and independent </w:t>
      </w:r>
      <w:r w:rsidR="00F72E98" w:rsidRPr="0001604F">
        <w:rPr>
          <w:sz w:val="24"/>
          <w:szCs w:val="24"/>
        </w:rPr>
        <w:t>facilitator</w:t>
      </w:r>
      <w:r w:rsidR="00F87A43">
        <w:rPr>
          <w:sz w:val="24"/>
          <w:szCs w:val="24"/>
        </w:rPr>
        <w:t xml:space="preserve"> committed to </w:t>
      </w:r>
      <w:r w:rsidR="00F87A43" w:rsidRPr="00F87A43">
        <w:rPr>
          <w:i/>
          <w:sz w:val="24"/>
          <w:szCs w:val="24"/>
        </w:rPr>
        <w:t>“</w:t>
      </w:r>
      <w:r w:rsidR="00F87A43" w:rsidRPr="00F87A43">
        <w:rPr>
          <w:rFonts w:eastAsia="Times New Roman" w:cstheme="minorHAnsi"/>
          <w:i/>
          <w:sz w:val="24"/>
          <w:szCs w:val="24"/>
        </w:rPr>
        <w:t>active and meaningful resident and community participation throughout the planning and implementation process</w:t>
      </w:r>
      <w:r w:rsidR="00500E3E">
        <w:rPr>
          <w:rFonts w:eastAsia="Times New Roman" w:cstheme="minorHAnsi"/>
          <w:i/>
          <w:sz w:val="24"/>
          <w:szCs w:val="24"/>
        </w:rPr>
        <w:t>”  to  create a long term plan to access public funds to secure the future of public housing.</w:t>
      </w:r>
      <w:proofErr w:type="gramEnd"/>
      <w:r w:rsidR="003C2093">
        <w:rPr>
          <w:rFonts w:eastAsia="Times New Roman" w:cstheme="minorHAnsi"/>
          <w:i/>
          <w:sz w:val="24"/>
          <w:szCs w:val="24"/>
        </w:rPr>
        <w:t xml:space="preserve"> </w:t>
      </w:r>
      <w:r w:rsidR="008D7F46">
        <w:rPr>
          <w:rFonts w:eastAsia="Times New Roman" w:cstheme="minorHAnsi"/>
          <w:i/>
          <w:sz w:val="24"/>
          <w:szCs w:val="24"/>
        </w:rPr>
        <w:t xml:space="preserve"> </w:t>
      </w:r>
    </w:p>
    <w:p w:rsidR="009B7827" w:rsidRDefault="008D7F46" w:rsidP="009B7827">
      <w:pPr>
        <w:pStyle w:val="NoSpacing"/>
        <w:rPr>
          <w:rFonts w:eastAsia="Times New Roman"/>
        </w:rPr>
      </w:pPr>
      <w:r>
        <w:rPr>
          <w:rFonts w:eastAsia="Times New Roman"/>
        </w:rPr>
        <w:t>#</w:t>
      </w:r>
      <w:proofErr w:type="spellStart"/>
      <w:r>
        <w:rPr>
          <w:rFonts w:eastAsia="Times New Roman"/>
        </w:rPr>
        <w:t>Saynotoprivatization</w:t>
      </w:r>
      <w:proofErr w:type="spellEnd"/>
    </w:p>
    <w:p w:rsidR="009B7827" w:rsidRPr="009B7827" w:rsidRDefault="00F87A43" w:rsidP="009B782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  <w:r>
        <w:t xml:space="preserve"> </w:t>
      </w:r>
      <w:r w:rsidR="003D20F0" w:rsidRPr="0001604F">
        <w:t xml:space="preserve"> </w:t>
      </w:r>
      <w:r w:rsidR="009B7827" w:rsidRPr="009B7827">
        <w:rPr>
          <w:rFonts w:ascii="Helvetica" w:eastAsia="Times New Roman" w:hAnsi="Helvetica" w:cs="Helvetica"/>
          <w:color w:val="1D2129"/>
          <w:sz w:val="18"/>
          <w:szCs w:val="18"/>
        </w:rPr>
        <w:t>#</w:t>
      </w:r>
      <w:proofErr w:type="spellStart"/>
      <w:r w:rsidR="009B7827" w:rsidRPr="009B7827">
        <w:rPr>
          <w:rFonts w:ascii="Helvetica" w:eastAsia="Times New Roman" w:hAnsi="Helvetica" w:cs="Helvetica"/>
          <w:color w:val="1D2129"/>
          <w:sz w:val="18"/>
          <w:szCs w:val="18"/>
        </w:rPr>
        <w:t>saynotogentrification</w:t>
      </w:r>
      <w:proofErr w:type="spellEnd"/>
    </w:p>
    <w:p w:rsidR="009B7827" w:rsidRPr="009B7827" w:rsidRDefault="009B7827" w:rsidP="009B782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#</w:t>
      </w:r>
      <w:proofErr w:type="spellStart"/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stopruss</w:t>
      </w:r>
      <w:proofErr w:type="spellEnd"/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, #</w:t>
      </w:r>
      <w:proofErr w:type="spellStart"/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stopruss</w:t>
      </w:r>
      <w:proofErr w:type="spellEnd"/>
      <w:proofErr w:type="gramStart"/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,#</w:t>
      </w:r>
      <w:proofErr w:type="spellStart"/>
      <w:proofErr w:type="gramEnd"/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stopruss</w:t>
      </w:r>
      <w:proofErr w:type="spellEnd"/>
    </w:p>
    <w:p w:rsidR="009B7827" w:rsidRPr="009B7827" w:rsidRDefault="009B7827" w:rsidP="009B782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#</w:t>
      </w:r>
      <w:proofErr w:type="spellStart"/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MPHAprofitsfromhighrises</w:t>
      </w:r>
      <w:proofErr w:type="spellEnd"/>
    </w:p>
    <w:p w:rsidR="009B7827" w:rsidRPr="009B7827" w:rsidRDefault="009B7827" w:rsidP="009B782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#</w:t>
      </w:r>
      <w:proofErr w:type="spellStart"/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MPHAprofitsfromscatteredsites</w:t>
      </w:r>
      <w:proofErr w:type="spellEnd"/>
    </w:p>
    <w:p w:rsidR="009B7827" w:rsidRPr="009B7827" w:rsidRDefault="009B7827" w:rsidP="009B782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#</w:t>
      </w:r>
      <w:proofErr w:type="spellStart"/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saveourcity</w:t>
      </w:r>
      <w:proofErr w:type="spellEnd"/>
    </w:p>
    <w:p w:rsidR="009B7827" w:rsidRPr="009B7827" w:rsidRDefault="009B7827" w:rsidP="009B782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#</w:t>
      </w:r>
      <w:proofErr w:type="spellStart"/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shameonMPHA</w:t>
      </w:r>
      <w:proofErr w:type="spellEnd"/>
    </w:p>
    <w:p w:rsidR="009B7827" w:rsidRPr="009B7827" w:rsidRDefault="009B7827" w:rsidP="009B782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#</w:t>
      </w:r>
      <w:proofErr w:type="spellStart"/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MPHAprofitsfromGlendale</w:t>
      </w:r>
      <w:proofErr w:type="spellEnd"/>
    </w:p>
    <w:p w:rsidR="009B7827" w:rsidRPr="009B7827" w:rsidRDefault="009B7827" w:rsidP="009B782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#</w:t>
      </w:r>
      <w:proofErr w:type="spellStart"/>
      <w:r w:rsidRPr="009B7827">
        <w:rPr>
          <w:rFonts w:ascii="Helvetica" w:eastAsia="Times New Roman" w:hAnsi="Helvetica" w:cs="Helvetica"/>
          <w:color w:val="1D2129"/>
          <w:sz w:val="18"/>
          <w:szCs w:val="18"/>
        </w:rPr>
        <w:t>MPHAprofitsfrompublichousing</w:t>
      </w:r>
      <w:proofErr w:type="spellEnd"/>
    </w:p>
    <w:p w:rsidR="00D36363" w:rsidRPr="0001604F" w:rsidRDefault="00D36363" w:rsidP="009B7827">
      <w:pPr>
        <w:pStyle w:val="NoSpacing"/>
      </w:pPr>
    </w:p>
    <w:p w:rsidR="00D36363" w:rsidRPr="00C85FDF" w:rsidRDefault="00D36363" w:rsidP="009B7827">
      <w:pPr>
        <w:pStyle w:val="NoSpacing"/>
        <w:rPr>
          <w:sz w:val="18"/>
          <w:szCs w:val="18"/>
        </w:rPr>
      </w:pPr>
    </w:p>
    <w:p w:rsidR="00C85FDF" w:rsidRPr="00C85FDF" w:rsidRDefault="00F546FA" w:rsidP="00C85FDF">
      <w:pPr>
        <w:shd w:val="clear" w:color="auto" w:fill="FFFFFF"/>
        <w:spacing w:after="264" w:line="240" w:lineRule="auto"/>
        <w:outlineLvl w:val="1"/>
        <w:rPr>
          <w:rFonts w:ascii="Verdana" w:eastAsia="Times New Roman" w:hAnsi="Verdana" w:cs="Arial"/>
          <w:color w:val="333333"/>
          <w:sz w:val="18"/>
          <w:szCs w:val="18"/>
        </w:rPr>
      </w:pPr>
      <w:hyperlink r:id="rId11" w:tgtFrame="_blank" w:history="1">
        <w:r w:rsidR="00C85FDF" w:rsidRPr="00C85FDF">
          <w:rPr>
            <w:rFonts w:ascii="Verdana" w:eastAsia="Times New Roman" w:hAnsi="Verdana" w:cs="Arial"/>
            <w:color w:val="1E1F6E"/>
            <w:sz w:val="18"/>
            <w:szCs w:val="18"/>
            <w:u w:val="single"/>
          </w:rPr>
          <w:t>FULL FY 2018 DRAFT Moving to Work Plan</w:t>
        </w:r>
      </w:hyperlink>
      <w:r w:rsidR="00C85FDF" w:rsidRPr="00C85FDF">
        <w:rPr>
          <w:rFonts w:ascii="Verdana" w:eastAsia="Times New Roman" w:hAnsi="Verdana" w:cs="Arial"/>
          <w:color w:val="333333"/>
          <w:sz w:val="18"/>
          <w:szCs w:val="18"/>
        </w:rPr>
        <w:t>  </w:t>
      </w:r>
      <w:proofErr w:type="gramStart"/>
      <w:r w:rsidR="00C85FDF" w:rsidRPr="00C85FDF">
        <w:rPr>
          <w:rFonts w:ascii="Verdana" w:eastAsia="Times New Roman" w:hAnsi="Verdana" w:cs="Arial"/>
          <w:color w:val="333333"/>
          <w:sz w:val="18"/>
          <w:szCs w:val="18"/>
        </w:rPr>
        <w:t>( Long</w:t>
      </w:r>
      <w:proofErr w:type="gramEnd"/>
      <w:r w:rsidR="00C85FDF" w:rsidRPr="00C85FDF">
        <w:rPr>
          <w:rFonts w:ascii="Verdana" w:eastAsia="Times New Roman" w:hAnsi="Verdana" w:cs="Arial"/>
          <w:color w:val="333333"/>
          <w:sz w:val="18"/>
          <w:szCs w:val="18"/>
        </w:rPr>
        <w:t xml:space="preserve"> unreadable document  ) </w:t>
      </w:r>
    </w:p>
    <w:p w:rsidR="00C85FDF" w:rsidRPr="00C85FDF" w:rsidRDefault="00F546FA" w:rsidP="00C85FDF">
      <w:pPr>
        <w:shd w:val="clear" w:color="auto" w:fill="FFFFFF"/>
        <w:spacing w:after="264" w:line="240" w:lineRule="auto"/>
        <w:outlineLvl w:val="1"/>
        <w:rPr>
          <w:rFonts w:ascii="Verdana" w:eastAsia="Times New Roman" w:hAnsi="Verdana" w:cs="Arial"/>
          <w:color w:val="333333"/>
          <w:sz w:val="18"/>
          <w:szCs w:val="18"/>
        </w:rPr>
      </w:pPr>
      <w:hyperlink r:id="rId12" w:tgtFrame="_blank" w:history="1">
        <w:r w:rsidR="00C85FDF" w:rsidRPr="00C85FDF">
          <w:rPr>
            <w:rFonts w:ascii="Verdana" w:eastAsia="Times New Roman" w:hAnsi="Verdana" w:cs="Arial"/>
            <w:color w:val="1E1F6E"/>
            <w:sz w:val="18"/>
            <w:szCs w:val="18"/>
            <w:u w:val="single"/>
          </w:rPr>
          <w:t>FY 2018 DRAFT Public Housing Statement of Policies (</w:t>
        </w:r>
        <w:proofErr w:type="spellStart"/>
        <w:r w:rsidR="00C85FDF" w:rsidRPr="00C85FDF">
          <w:rPr>
            <w:rFonts w:ascii="Verdana" w:eastAsia="Times New Roman" w:hAnsi="Verdana" w:cs="Arial"/>
            <w:color w:val="1E1F6E"/>
            <w:sz w:val="18"/>
            <w:szCs w:val="18"/>
            <w:u w:val="single"/>
          </w:rPr>
          <w:t>ACOP</w:t>
        </w:r>
        <w:proofErr w:type="spellEnd"/>
        <w:r w:rsidR="00C85FDF" w:rsidRPr="00C85FDF">
          <w:rPr>
            <w:rFonts w:ascii="Verdana" w:eastAsia="Times New Roman" w:hAnsi="Verdana" w:cs="Arial"/>
            <w:color w:val="1E1F6E"/>
            <w:sz w:val="18"/>
            <w:szCs w:val="18"/>
            <w:u w:val="single"/>
          </w:rPr>
          <w:t>)</w:t>
        </w:r>
      </w:hyperlink>
      <w:r w:rsidR="00C85FDF" w:rsidRPr="00C85FDF">
        <w:rPr>
          <w:rFonts w:ascii="Verdana" w:eastAsia="Times New Roman" w:hAnsi="Verdana" w:cs="Arial"/>
          <w:color w:val="333333"/>
          <w:sz w:val="18"/>
          <w:szCs w:val="18"/>
        </w:rPr>
        <w:t xml:space="preserve">  </w:t>
      </w:r>
      <w:proofErr w:type="gramStart"/>
      <w:r w:rsidR="00C85FDF" w:rsidRPr="00C85FDF">
        <w:rPr>
          <w:rFonts w:ascii="Verdana" w:eastAsia="Times New Roman" w:hAnsi="Verdana" w:cs="Arial"/>
          <w:color w:val="333333"/>
          <w:sz w:val="18"/>
          <w:szCs w:val="18"/>
        </w:rPr>
        <w:t>(</w:t>
      </w:r>
      <w:r w:rsidR="00C85FDF">
        <w:rPr>
          <w:rFonts w:ascii="Verdana" w:eastAsia="Times New Roman" w:hAnsi="Verdana" w:cs="Arial"/>
          <w:color w:val="333333"/>
          <w:sz w:val="18"/>
          <w:szCs w:val="18"/>
        </w:rPr>
        <w:t> Long</w:t>
      </w:r>
      <w:proofErr w:type="gramEnd"/>
      <w:r w:rsidR="00C85FDF">
        <w:rPr>
          <w:rFonts w:ascii="Verdana" w:eastAsia="Times New Roman" w:hAnsi="Verdana" w:cs="Arial"/>
          <w:color w:val="333333"/>
          <w:sz w:val="18"/>
          <w:szCs w:val="18"/>
        </w:rPr>
        <w:t xml:space="preserve"> unreadable document  </w:t>
      </w:r>
      <w:r w:rsidR="00C85FDF" w:rsidRPr="00C85FDF">
        <w:rPr>
          <w:rFonts w:ascii="Verdana" w:eastAsia="Times New Roman" w:hAnsi="Verdana" w:cs="Arial"/>
          <w:color w:val="333333"/>
          <w:sz w:val="18"/>
          <w:szCs w:val="18"/>
        </w:rPr>
        <w:t>n) </w:t>
      </w:r>
    </w:p>
    <w:p w:rsidR="00C85FDF" w:rsidRPr="00C85FDF" w:rsidRDefault="00C85FDF" w:rsidP="00C85FDF">
      <w:pPr>
        <w:shd w:val="clear" w:color="auto" w:fill="FFFFFF"/>
        <w:spacing w:after="264" w:line="240" w:lineRule="auto"/>
        <w:outlineLvl w:val="1"/>
        <w:rPr>
          <w:rFonts w:ascii="Verdana" w:eastAsia="Times New Roman" w:hAnsi="Verdana" w:cs="Arial"/>
          <w:color w:val="333333"/>
          <w:sz w:val="18"/>
          <w:szCs w:val="18"/>
        </w:rPr>
      </w:pPr>
      <w:r w:rsidRPr="00C85FDF">
        <w:rPr>
          <w:rFonts w:ascii="Verdana" w:eastAsia="Times New Roman" w:hAnsi="Verdana" w:cs="Arial"/>
          <w:color w:val="333333"/>
          <w:sz w:val="18"/>
          <w:szCs w:val="18"/>
        </w:rPr>
        <w:t>S</w:t>
      </w:r>
      <w:hyperlink r:id="rId13" w:tgtFrame="_blank" w:history="1">
        <w:r w:rsidRPr="00C85FDF">
          <w:rPr>
            <w:rFonts w:ascii="Verdana" w:eastAsia="Times New Roman" w:hAnsi="Verdana" w:cs="Arial"/>
            <w:color w:val="1E1F6E"/>
            <w:sz w:val="18"/>
            <w:szCs w:val="18"/>
            <w:u w:val="single"/>
          </w:rPr>
          <w:t>lide presentation</w:t>
        </w:r>
      </w:hyperlink>
      <w:r w:rsidRPr="00C85FDF">
        <w:rPr>
          <w:rFonts w:ascii="Verdana" w:eastAsia="Times New Roman" w:hAnsi="Verdana" w:cs="Arial"/>
          <w:color w:val="333333"/>
          <w:sz w:val="18"/>
          <w:szCs w:val="18"/>
        </w:rPr>
        <w:t xml:space="preserve">  </w:t>
      </w:r>
      <w:proofErr w:type="gramStart"/>
      <w:r w:rsidRPr="00C85FDF">
        <w:rPr>
          <w:rFonts w:ascii="Verdana" w:eastAsia="Times New Roman" w:hAnsi="Verdana" w:cs="Arial"/>
          <w:color w:val="333333"/>
          <w:sz w:val="18"/>
          <w:szCs w:val="18"/>
        </w:rPr>
        <w:t>( same</w:t>
      </w:r>
      <w:proofErr w:type="gramEnd"/>
      <w:r w:rsidRPr="00C85FDF">
        <w:rPr>
          <w:rFonts w:ascii="Verdana" w:eastAsia="Times New Roman" w:hAnsi="Verdana" w:cs="Arial"/>
          <w:color w:val="333333"/>
          <w:sz w:val="18"/>
          <w:szCs w:val="18"/>
        </w:rPr>
        <w:t xml:space="preserve"> docs as above for community meeting that did not have translation).</w:t>
      </w:r>
    </w:p>
    <w:p w:rsidR="00C85FDF" w:rsidRPr="00C85FDF" w:rsidRDefault="00F546FA" w:rsidP="00C85FDF">
      <w:pPr>
        <w:shd w:val="clear" w:color="auto" w:fill="FFFFFF"/>
        <w:spacing w:after="264" w:line="240" w:lineRule="auto"/>
        <w:outlineLvl w:val="1"/>
        <w:rPr>
          <w:rFonts w:ascii="Verdana" w:eastAsia="Times New Roman" w:hAnsi="Verdana" w:cs="Arial"/>
          <w:color w:val="333333"/>
          <w:sz w:val="18"/>
          <w:szCs w:val="18"/>
        </w:rPr>
      </w:pPr>
      <w:hyperlink r:id="rId14" w:tgtFrame="_blank" w:history="1">
        <w:r w:rsidR="00C85FDF" w:rsidRPr="00C85FDF">
          <w:rPr>
            <w:rFonts w:ascii="Verdana" w:eastAsia="Times New Roman" w:hAnsi="Verdana" w:cs="Arial"/>
            <w:color w:val="1E1F6E"/>
            <w:sz w:val="18"/>
            <w:szCs w:val="18"/>
            <w:u w:val="single"/>
          </w:rPr>
          <w:t>Executive Summary</w:t>
        </w:r>
      </w:hyperlink>
      <w:r w:rsidR="00C85FDF" w:rsidRPr="00C85FDF">
        <w:rPr>
          <w:rFonts w:ascii="Verdana" w:eastAsia="Times New Roman" w:hAnsi="Verdana" w:cs="Arial"/>
          <w:color w:val="333333"/>
          <w:sz w:val="18"/>
          <w:szCs w:val="18"/>
        </w:rPr>
        <w:t>  </w:t>
      </w:r>
      <w:proofErr w:type="gramStart"/>
      <w:r w:rsidR="00C85FDF" w:rsidRPr="00C85FDF">
        <w:rPr>
          <w:rFonts w:ascii="Verdana" w:eastAsia="Times New Roman" w:hAnsi="Verdana" w:cs="Arial"/>
          <w:color w:val="333333"/>
          <w:sz w:val="18"/>
          <w:szCs w:val="18"/>
        </w:rPr>
        <w:t>( same</w:t>
      </w:r>
      <w:proofErr w:type="gramEnd"/>
      <w:r w:rsidR="00C85FDF" w:rsidRPr="00C85FDF">
        <w:rPr>
          <w:rFonts w:ascii="Verdana" w:eastAsia="Times New Roman" w:hAnsi="Verdana" w:cs="Arial"/>
          <w:color w:val="333333"/>
          <w:sz w:val="18"/>
          <w:szCs w:val="18"/>
        </w:rPr>
        <w:t xml:space="preserve"> docs as above created last week  after call to action)</w:t>
      </w:r>
    </w:p>
    <w:p w:rsidR="00C85FDF" w:rsidRPr="00C85FDF" w:rsidRDefault="00C85FDF" w:rsidP="00C85FDF">
      <w:pPr>
        <w:shd w:val="clear" w:color="auto" w:fill="FFFFFF"/>
        <w:spacing w:after="264" w:line="240" w:lineRule="auto"/>
        <w:outlineLvl w:val="1"/>
        <w:rPr>
          <w:rFonts w:ascii="Verdana" w:eastAsia="Times New Roman" w:hAnsi="Verdana" w:cs="Arial"/>
          <w:color w:val="333333"/>
          <w:sz w:val="18"/>
          <w:szCs w:val="18"/>
        </w:rPr>
      </w:pPr>
      <w:r w:rsidRPr="00C85FDF">
        <w:rPr>
          <w:rFonts w:ascii="Verdana" w:eastAsia="Times New Roman" w:hAnsi="Verdana" w:cs="Arial"/>
          <w:color w:val="333333"/>
          <w:sz w:val="18"/>
          <w:szCs w:val="18"/>
        </w:rPr>
        <w:lastRenderedPageBreak/>
        <w:t> </w:t>
      </w:r>
      <w:hyperlink r:id="rId15" w:tgtFrame="_blank" w:history="1">
        <w:r w:rsidRPr="00C85FDF">
          <w:rPr>
            <w:rFonts w:ascii="Verdana" w:eastAsia="Times New Roman" w:hAnsi="Verdana" w:cs="Arial"/>
            <w:color w:val="1E1F6E"/>
            <w:sz w:val="18"/>
            <w:szCs w:val="18"/>
            <w:u w:val="single"/>
          </w:rPr>
          <w:t>Executive Summary (Somali)</w:t>
        </w:r>
      </w:hyperlink>
      <w:r w:rsidRPr="00C85FDF">
        <w:rPr>
          <w:rFonts w:ascii="Verdana" w:eastAsia="Times New Roman" w:hAnsi="Verdana" w:cs="Arial"/>
          <w:color w:val="333333"/>
          <w:sz w:val="18"/>
          <w:szCs w:val="18"/>
        </w:rPr>
        <w:t xml:space="preserve">  (same docs as above created last </w:t>
      </w:r>
      <w:proofErr w:type="gramStart"/>
      <w:r w:rsidRPr="00C85FDF">
        <w:rPr>
          <w:rFonts w:ascii="Verdana" w:eastAsia="Times New Roman" w:hAnsi="Verdana" w:cs="Arial"/>
          <w:color w:val="333333"/>
          <w:sz w:val="18"/>
          <w:szCs w:val="18"/>
        </w:rPr>
        <w:t>week  after</w:t>
      </w:r>
      <w:proofErr w:type="gramEnd"/>
      <w:r w:rsidRPr="00C85FDF">
        <w:rPr>
          <w:rFonts w:ascii="Verdana" w:eastAsia="Times New Roman" w:hAnsi="Verdana" w:cs="Arial"/>
          <w:color w:val="333333"/>
          <w:sz w:val="18"/>
          <w:szCs w:val="18"/>
        </w:rPr>
        <w:t xml:space="preserve"> call to action)</w:t>
      </w:r>
    </w:p>
    <w:p w:rsidR="00C85FDF" w:rsidRPr="00C85FDF" w:rsidRDefault="00C85FDF" w:rsidP="00C85FDF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8"/>
          <w:szCs w:val="18"/>
        </w:rPr>
      </w:pPr>
      <w:r w:rsidRPr="00C85FDF">
        <w:rPr>
          <w:rFonts w:ascii="Arial" w:eastAsia="Times New Roman" w:hAnsi="Arial" w:cs="Arial"/>
          <w:noProof/>
          <w:color w:val="222222"/>
          <w:sz w:val="18"/>
          <w:szCs w:val="18"/>
        </w:rPr>
        <w:drawing>
          <wp:inline distT="0" distB="0" distL="0" distR="0" wp14:anchorId="42BD10CE" wp14:editId="6A3A7EA2">
            <wp:extent cx="10795" cy="1079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63" w:rsidRPr="00C85FDF" w:rsidRDefault="00C41563">
      <w:pPr>
        <w:rPr>
          <w:sz w:val="18"/>
          <w:szCs w:val="18"/>
        </w:rPr>
      </w:pPr>
    </w:p>
    <w:p w:rsidR="00C41563" w:rsidRPr="0001604F" w:rsidRDefault="00C41563">
      <w:pPr>
        <w:rPr>
          <w:sz w:val="24"/>
          <w:szCs w:val="24"/>
        </w:rPr>
      </w:pPr>
    </w:p>
    <w:p w:rsidR="00702F1C" w:rsidRPr="0001604F" w:rsidRDefault="00702F1C">
      <w:pPr>
        <w:rPr>
          <w:sz w:val="24"/>
          <w:szCs w:val="24"/>
        </w:rPr>
      </w:pPr>
    </w:p>
    <w:p w:rsidR="00702F1C" w:rsidRPr="0001604F" w:rsidRDefault="00702F1C">
      <w:pPr>
        <w:rPr>
          <w:sz w:val="24"/>
          <w:szCs w:val="24"/>
        </w:rPr>
      </w:pPr>
    </w:p>
    <w:sectPr w:rsidR="00702F1C" w:rsidRPr="0001604F" w:rsidSect="005255B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FA" w:rsidRDefault="00F546FA" w:rsidP="00EA4DA3">
      <w:pPr>
        <w:spacing w:after="0" w:line="240" w:lineRule="auto"/>
      </w:pPr>
      <w:r>
        <w:separator/>
      </w:r>
    </w:p>
  </w:endnote>
  <w:endnote w:type="continuationSeparator" w:id="0">
    <w:p w:rsidR="00F546FA" w:rsidRDefault="00F546FA" w:rsidP="00EA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61126"/>
      <w:docPartObj>
        <w:docPartGallery w:val="Page Numbers (Bottom of Page)"/>
        <w:docPartUnique/>
      </w:docPartObj>
    </w:sdtPr>
    <w:sdtEndPr/>
    <w:sdtContent>
      <w:p w:rsidR="006E7156" w:rsidRDefault="006E71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156" w:rsidRDefault="006E7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FA" w:rsidRDefault="00F546FA" w:rsidP="00EA4DA3">
      <w:pPr>
        <w:spacing w:after="0" w:line="240" w:lineRule="auto"/>
      </w:pPr>
      <w:r>
        <w:separator/>
      </w:r>
    </w:p>
  </w:footnote>
  <w:footnote w:type="continuationSeparator" w:id="0">
    <w:p w:rsidR="00F546FA" w:rsidRDefault="00F546FA" w:rsidP="00EA4DA3">
      <w:pPr>
        <w:spacing w:after="0" w:line="240" w:lineRule="auto"/>
      </w:pPr>
      <w:r>
        <w:continuationSeparator/>
      </w:r>
    </w:p>
  </w:footnote>
  <w:footnote w:id="1">
    <w:p w:rsidR="006E7156" w:rsidRPr="00B5435B" w:rsidRDefault="006E7156">
      <w:pPr>
        <w:pStyle w:val="FootnoteText"/>
        <w:rPr>
          <w:sz w:val="24"/>
          <w:szCs w:val="24"/>
        </w:rPr>
      </w:pPr>
      <w:r w:rsidRPr="00B5435B">
        <w:rPr>
          <w:rStyle w:val="FootnoteReference"/>
          <w:sz w:val="24"/>
          <w:szCs w:val="24"/>
        </w:rPr>
        <w:footnoteRef/>
      </w:r>
      <w:r w:rsidRPr="00B5435B">
        <w:rPr>
          <w:sz w:val="24"/>
          <w:szCs w:val="24"/>
        </w:rPr>
        <w:t xml:space="preserve">   Draft Plan, page 8.</w:t>
      </w:r>
    </w:p>
  </w:footnote>
  <w:footnote w:id="2">
    <w:p w:rsidR="006E7156" w:rsidRPr="00B5435B" w:rsidRDefault="006E7156">
      <w:pPr>
        <w:pStyle w:val="FootnoteText"/>
        <w:rPr>
          <w:sz w:val="24"/>
          <w:szCs w:val="24"/>
        </w:rPr>
      </w:pPr>
      <w:r w:rsidRPr="00B5435B">
        <w:rPr>
          <w:rStyle w:val="FootnoteReference"/>
          <w:sz w:val="24"/>
          <w:szCs w:val="24"/>
        </w:rPr>
        <w:footnoteRef/>
      </w:r>
      <w:r w:rsidRPr="00B5435B">
        <w:rPr>
          <w:sz w:val="24"/>
          <w:szCs w:val="24"/>
        </w:rPr>
        <w:t xml:space="preserve">   Draft Plan, page 26.</w:t>
      </w:r>
    </w:p>
  </w:footnote>
  <w:footnote w:id="3">
    <w:p w:rsidR="006E7156" w:rsidRPr="00B5435B" w:rsidRDefault="006E7156">
      <w:pPr>
        <w:pStyle w:val="FootnoteText"/>
        <w:rPr>
          <w:sz w:val="24"/>
          <w:szCs w:val="24"/>
        </w:rPr>
      </w:pPr>
      <w:r w:rsidRPr="00B5435B">
        <w:rPr>
          <w:rStyle w:val="FootnoteReference"/>
          <w:sz w:val="24"/>
          <w:szCs w:val="24"/>
        </w:rPr>
        <w:footnoteRef/>
      </w:r>
      <w:r w:rsidRPr="00B5435B">
        <w:rPr>
          <w:sz w:val="24"/>
          <w:szCs w:val="24"/>
        </w:rPr>
        <w:t xml:space="preserve">   Draft Plan Executive Summary, page 8.</w:t>
      </w:r>
    </w:p>
  </w:footnote>
  <w:footnote w:id="4">
    <w:p w:rsidR="006E7156" w:rsidRPr="00B5435B" w:rsidRDefault="006E7156" w:rsidP="00B54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4"/>
          <w:szCs w:val="24"/>
        </w:rPr>
      </w:pPr>
      <w:r w:rsidRPr="00B5435B">
        <w:rPr>
          <w:rStyle w:val="FootnoteReference"/>
          <w:sz w:val="24"/>
          <w:szCs w:val="24"/>
        </w:rPr>
        <w:footnoteRef/>
      </w:r>
      <w:r w:rsidRPr="00B5435B">
        <w:rPr>
          <w:sz w:val="24"/>
          <w:szCs w:val="24"/>
        </w:rPr>
        <w:t xml:space="preserve">   Consequently, this proposal to switch to </w:t>
      </w:r>
      <w:proofErr w:type="spellStart"/>
      <w:r w:rsidRPr="00B5435B">
        <w:rPr>
          <w:sz w:val="24"/>
          <w:szCs w:val="24"/>
        </w:rPr>
        <w:t>LURAs</w:t>
      </w:r>
      <w:proofErr w:type="spellEnd"/>
      <w:r w:rsidRPr="00B5435B">
        <w:rPr>
          <w:sz w:val="24"/>
          <w:szCs w:val="24"/>
        </w:rPr>
        <w:t xml:space="preserve"> violates the pledge made at page 8 of the Draft </w:t>
      </w:r>
      <w:proofErr w:type="spellStart"/>
      <w:r w:rsidRPr="00B5435B">
        <w:rPr>
          <w:sz w:val="24"/>
          <w:szCs w:val="24"/>
        </w:rPr>
        <w:t>MTW</w:t>
      </w:r>
      <w:proofErr w:type="spellEnd"/>
      <w:r w:rsidRPr="00B5435B">
        <w:rPr>
          <w:sz w:val="24"/>
          <w:szCs w:val="24"/>
        </w:rPr>
        <w:t xml:space="preserve"> Annual Plan 2018 :  “</w:t>
      </w:r>
      <w:r w:rsidRPr="00B5435B">
        <w:rPr>
          <w:rFonts w:ascii="Calibri" w:hAnsi="Calibri" w:cs="Calibri"/>
          <w:sz w:val="24"/>
          <w:szCs w:val="24"/>
        </w:rPr>
        <w:t>MPHA commits to protect residents who are particularly vulnerable, including the elderly, persons with disabilities</w:t>
      </w:r>
      <w:r w:rsidRPr="00B5435B">
        <w:rPr>
          <w:rFonts w:ascii="Calibri" w:hAnsi="Calibri" w:cs="Calibri"/>
          <w:color w:val="FF0000"/>
          <w:sz w:val="24"/>
          <w:szCs w:val="24"/>
        </w:rPr>
        <w:t xml:space="preserve">, </w:t>
      </w:r>
      <w:r w:rsidRPr="00B5435B">
        <w:rPr>
          <w:rFonts w:ascii="Calibri" w:hAnsi="Calibri" w:cs="Calibri"/>
          <w:b/>
          <w:color w:val="FF0000"/>
          <w:sz w:val="24"/>
          <w:szCs w:val="24"/>
        </w:rPr>
        <w:t>persons with income below 30% of the area median income</w:t>
      </w:r>
      <w:r w:rsidRPr="00B5435B">
        <w:rPr>
          <w:rFonts w:ascii="Calibri" w:hAnsi="Calibri" w:cs="Calibri"/>
          <w:sz w:val="24"/>
          <w:szCs w:val="24"/>
        </w:rPr>
        <w:t>, and immigrant families (as permitted by law).”</w:t>
      </w:r>
    </w:p>
    <w:p w:rsidR="006E7156" w:rsidRDefault="006E7156">
      <w:pPr>
        <w:pStyle w:val="FootnoteText"/>
      </w:pPr>
    </w:p>
    <w:p w:rsidR="006E7156" w:rsidRDefault="006E7156">
      <w:pPr>
        <w:pStyle w:val="FootnoteText"/>
      </w:pPr>
    </w:p>
  </w:footnote>
  <w:footnote w:id="5">
    <w:p w:rsidR="006E7156" w:rsidRPr="00787152" w:rsidRDefault="006E7156">
      <w:pPr>
        <w:pStyle w:val="FootnoteText"/>
        <w:rPr>
          <w:sz w:val="24"/>
          <w:szCs w:val="24"/>
        </w:rPr>
      </w:pPr>
      <w:r w:rsidRPr="00787152">
        <w:rPr>
          <w:rStyle w:val="FootnoteReference"/>
          <w:sz w:val="24"/>
          <w:szCs w:val="24"/>
        </w:rPr>
        <w:footnoteRef/>
      </w:r>
      <w:r w:rsidRPr="00787152">
        <w:rPr>
          <w:sz w:val="24"/>
          <w:szCs w:val="24"/>
        </w:rPr>
        <w:t xml:space="preserve">   </w:t>
      </w:r>
      <w:proofErr w:type="gramStart"/>
      <w:r w:rsidRPr="00787152">
        <w:rPr>
          <w:sz w:val="24"/>
          <w:szCs w:val="24"/>
        </w:rPr>
        <w:t xml:space="preserve">Staff’s claim in this regard is, of course,  patently false given the on-going disinvestment in Glendale, the stealth abandonment of the Declaration of Trust status tucked away in this Draft </w:t>
      </w:r>
      <w:proofErr w:type="spellStart"/>
      <w:r w:rsidRPr="00787152">
        <w:rPr>
          <w:sz w:val="24"/>
          <w:szCs w:val="24"/>
        </w:rPr>
        <w:t>MTW</w:t>
      </w:r>
      <w:proofErr w:type="spellEnd"/>
      <w:r w:rsidRPr="00787152">
        <w:rPr>
          <w:sz w:val="24"/>
          <w:szCs w:val="24"/>
        </w:rPr>
        <w:t xml:space="preserve"> Annual Plan, the un</w:t>
      </w:r>
      <w:r>
        <w:rPr>
          <w:sz w:val="24"/>
          <w:szCs w:val="24"/>
        </w:rPr>
        <w:t>-</w:t>
      </w:r>
      <w:r w:rsidRPr="00787152">
        <w:rPr>
          <w:sz w:val="24"/>
          <w:szCs w:val="24"/>
        </w:rPr>
        <w:t xml:space="preserve">repudiated Sherman 4-option report  that illustrated in detail and </w:t>
      </w:r>
      <w:r>
        <w:rPr>
          <w:sz w:val="24"/>
          <w:szCs w:val="24"/>
        </w:rPr>
        <w:t>C</w:t>
      </w:r>
      <w:r w:rsidRPr="00787152">
        <w:rPr>
          <w:sz w:val="24"/>
          <w:szCs w:val="24"/>
        </w:rPr>
        <w:t xml:space="preserve">learly favored privatized  options for Glendale (available online </w:t>
      </w:r>
      <w:hyperlink r:id="rId1" w:history="1">
        <w:r w:rsidRPr="00787152">
          <w:rPr>
            <w:rStyle w:val="Hyperlink"/>
            <w:sz w:val="24"/>
            <w:szCs w:val="24"/>
          </w:rPr>
          <w:t>http://www.mphaonline.org/wp-content/uploads/2016/01/MPHA_Sherman-Presentation_01.27.16FINAL.pdf</w:t>
        </w:r>
      </w:hyperlink>
      <w:r w:rsidRPr="00787152">
        <w:rPr>
          <w:sz w:val="24"/>
          <w:szCs w:val="24"/>
        </w:rPr>
        <w:t xml:space="preserve"> 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33A1"/>
    <w:multiLevelType w:val="hybridMultilevel"/>
    <w:tmpl w:val="FAAE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47FC"/>
    <w:multiLevelType w:val="hybridMultilevel"/>
    <w:tmpl w:val="EB4E961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1C"/>
    <w:rsid w:val="0001604F"/>
    <w:rsid w:val="00020691"/>
    <w:rsid w:val="000537DA"/>
    <w:rsid w:val="000C0437"/>
    <w:rsid w:val="000C39C3"/>
    <w:rsid w:val="00100793"/>
    <w:rsid w:val="00100EC0"/>
    <w:rsid w:val="001246A5"/>
    <w:rsid w:val="0017622E"/>
    <w:rsid w:val="001B7EEF"/>
    <w:rsid w:val="001C47DF"/>
    <w:rsid w:val="00252788"/>
    <w:rsid w:val="002916E2"/>
    <w:rsid w:val="0032056A"/>
    <w:rsid w:val="00350AA9"/>
    <w:rsid w:val="00371900"/>
    <w:rsid w:val="00380ED5"/>
    <w:rsid w:val="003C2093"/>
    <w:rsid w:val="003D20F0"/>
    <w:rsid w:val="003D2E33"/>
    <w:rsid w:val="003D48BF"/>
    <w:rsid w:val="003E04BA"/>
    <w:rsid w:val="003E765C"/>
    <w:rsid w:val="00441918"/>
    <w:rsid w:val="00491093"/>
    <w:rsid w:val="004A189C"/>
    <w:rsid w:val="004F019A"/>
    <w:rsid w:val="004F6BE8"/>
    <w:rsid w:val="00500E3E"/>
    <w:rsid w:val="005255B2"/>
    <w:rsid w:val="005D09D3"/>
    <w:rsid w:val="00622453"/>
    <w:rsid w:val="006423BA"/>
    <w:rsid w:val="00660665"/>
    <w:rsid w:val="006717DC"/>
    <w:rsid w:val="006C4FB1"/>
    <w:rsid w:val="006E6C35"/>
    <w:rsid w:val="006E7156"/>
    <w:rsid w:val="00702F1C"/>
    <w:rsid w:val="00735293"/>
    <w:rsid w:val="00742C09"/>
    <w:rsid w:val="007607E0"/>
    <w:rsid w:val="00770285"/>
    <w:rsid w:val="00775DA0"/>
    <w:rsid w:val="00787152"/>
    <w:rsid w:val="00791544"/>
    <w:rsid w:val="00795C1D"/>
    <w:rsid w:val="007E2946"/>
    <w:rsid w:val="00800710"/>
    <w:rsid w:val="008418DA"/>
    <w:rsid w:val="00880C36"/>
    <w:rsid w:val="008D7F46"/>
    <w:rsid w:val="00926B91"/>
    <w:rsid w:val="00935FB7"/>
    <w:rsid w:val="009B7827"/>
    <w:rsid w:val="00A317C1"/>
    <w:rsid w:val="00A55D4A"/>
    <w:rsid w:val="00A6373D"/>
    <w:rsid w:val="00A647AD"/>
    <w:rsid w:val="00A842B1"/>
    <w:rsid w:val="00B035FA"/>
    <w:rsid w:val="00B5435B"/>
    <w:rsid w:val="00B85470"/>
    <w:rsid w:val="00BC11C3"/>
    <w:rsid w:val="00BC7C83"/>
    <w:rsid w:val="00BE5D3C"/>
    <w:rsid w:val="00C04543"/>
    <w:rsid w:val="00C254A9"/>
    <w:rsid w:val="00C3262B"/>
    <w:rsid w:val="00C41563"/>
    <w:rsid w:val="00C62DE0"/>
    <w:rsid w:val="00C85FDF"/>
    <w:rsid w:val="00D0302E"/>
    <w:rsid w:val="00D03CED"/>
    <w:rsid w:val="00D05F5F"/>
    <w:rsid w:val="00D25439"/>
    <w:rsid w:val="00D25A0F"/>
    <w:rsid w:val="00D36363"/>
    <w:rsid w:val="00D94F1C"/>
    <w:rsid w:val="00D95670"/>
    <w:rsid w:val="00DC5AC0"/>
    <w:rsid w:val="00E326BB"/>
    <w:rsid w:val="00E454FB"/>
    <w:rsid w:val="00EA3336"/>
    <w:rsid w:val="00EA4DA3"/>
    <w:rsid w:val="00ED4C76"/>
    <w:rsid w:val="00EF0A5B"/>
    <w:rsid w:val="00F020BB"/>
    <w:rsid w:val="00F04641"/>
    <w:rsid w:val="00F546FA"/>
    <w:rsid w:val="00F72E98"/>
    <w:rsid w:val="00F87A43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4D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D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D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7E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FB7"/>
  </w:style>
  <w:style w:type="paragraph" w:styleId="Footer">
    <w:name w:val="footer"/>
    <w:basedOn w:val="Normal"/>
    <w:link w:val="FooterChar"/>
    <w:uiPriority w:val="99"/>
    <w:unhideWhenUsed/>
    <w:rsid w:val="0093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B7"/>
  </w:style>
  <w:style w:type="paragraph" w:styleId="BalloonText">
    <w:name w:val="Balloon Text"/>
    <w:basedOn w:val="Normal"/>
    <w:link w:val="BalloonTextChar"/>
    <w:uiPriority w:val="99"/>
    <w:semiHidden/>
    <w:unhideWhenUsed/>
    <w:rsid w:val="0066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0302E"/>
    <w:rPr>
      <w:i/>
      <w:iCs/>
    </w:rPr>
  </w:style>
  <w:style w:type="paragraph" w:styleId="NoSpacing">
    <w:name w:val="No Spacing"/>
    <w:uiPriority w:val="1"/>
    <w:qFormat/>
    <w:rsid w:val="009B78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4D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D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D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7E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FB7"/>
  </w:style>
  <w:style w:type="paragraph" w:styleId="Footer">
    <w:name w:val="footer"/>
    <w:basedOn w:val="Normal"/>
    <w:link w:val="FooterChar"/>
    <w:uiPriority w:val="99"/>
    <w:unhideWhenUsed/>
    <w:rsid w:val="0093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B7"/>
  </w:style>
  <w:style w:type="paragraph" w:styleId="BalloonText">
    <w:name w:val="Balloon Text"/>
    <w:basedOn w:val="Normal"/>
    <w:link w:val="BalloonTextChar"/>
    <w:uiPriority w:val="99"/>
    <w:semiHidden/>
    <w:unhideWhenUsed/>
    <w:rsid w:val="0066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0302E"/>
    <w:rPr>
      <w:i/>
      <w:iCs/>
    </w:rPr>
  </w:style>
  <w:style w:type="paragraph" w:styleId="NoSpacing">
    <w:name w:val="No Spacing"/>
    <w:uiPriority w:val="1"/>
    <w:qFormat/>
    <w:rsid w:val="009B7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7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5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phaonline.org/wp-content/uploads/2017/07/Advance-Meeting-Presentations-Complet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phaonline.org/wp-content/uploads/2017/07/1-Draft-FY2018-LIPH-Statement-of-Policies-7-10-2017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phaonline.org/wp-content/uploads/2017/08/Draft-MPHA-2018-MTW-Plan-Blacklined-8-7-201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phaonline.org/wp-content/uploads/2017/07/2018-MPHA-MTW-Annual-Plan-Exec-Summary-SOMALI.pdf" TargetMode="External"/><Relationship Id="rId10" Type="http://schemas.openxmlformats.org/officeDocument/2006/relationships/hyperlink" Target="http://www.southsidepride.com/pulsetc/article9678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phaonline.org/wp-content/uploads/2016/01/MPHA_Sherman-Presentation_01.27.16FINAL.pdf" TargetMode="External"/><Relationship Id="rId14" Type="http://schemas.openxmlformats.org/officeDocument/2006/relationships/hyperlink" Target="http://mphaonline.org/wp-content/uploads/2017/07/2018-MPHA-MTW-Annual-Plan-Exec-Summary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haonline.org/wp-content/uploads/2016/01/MPHA_Sherman-Presentation_01.27.16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E5B7E-EEAF-44BD-B6BA-318ACADD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Ladan Yusuf</cp:lastModifiedBy>
  <cp:revision>10</cp:revision>
  <dcterms:created xsi:type="dcterms:W3CDTF">2017-09-19T22:11:00Z</dcterms:created>
  <dcterms:modified xsi:type="dcterms:W3CDTF">2017-09-21T21:47:00Z</dcterms:modified>
</cp:coreProperties>
</file>